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B41AE" w14:textId="77777777" w:rsidR="009E2531" w:rsidRDefault="009E2531">
      <w:pPr>
        <w:rPr>
          <w:rFonts w:ascii="Arial" w:hAnsi="Arial" w:cs="Arial"/>
          <w:sz w:val="24"/>
          <w:szCs w:val="24"/>
        </w:rPr>
      </w:pPr>
      <w:r w:rsidRPr="009E2531">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56AB41DD" wp14:editId="07070E78">
                <wp:simplePos x="0" y="0"/>
                <wp:positionH relativeFrom="column">
                  <wp:posOffset>-124691</wp:posOffset>
                </wp:positionH>
                <wp:positionV relativeFrom="paragraph">
                  <wp:posOffset>-360218</wp:posOffset>
                </wp:positionV>
                <wp:extent cx="4003964" cy="8667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964" cy="866775"/>
                        </a:xfrm>
                        <a:prstGeom prst="rect">
                          <a:avLst/>
                        </a:prstGeom>
                        <a:solidFill>
                          <a:srgbClr val="FFFFFF"/>
                        </a:solidFill>
                        <a:ln w="9525">
                          <a:noFill/>
                          <a:miter lim="800000"/>
                          <a:headEnd/>
                          <a:tailEnd/>
                        </a:ln>
                      </wps:spPr>
                      <wps:txbx>
                        <w:txbxContent>
                          <w:p w14:paraId="56AB41E8" w14:textId="213CCCD9" w:rsidR="009E2531" w:rsidRPr="009E2531" w:rsidRDefault="0073319E" w:rsidP="009E2531">
                            <w:pPr>
                              <w:spacing w:after="0" w:line="360" w:lineRule="auto"/>
                              <w:rPr>
                                <w:rFonts w:ascii="Arial" w:hAnsi="Arial" w:cs="Arial"/>
                                <w:b/>
                                <w:color w:val="1F3864" w:themeColor="accent5" w:themeShade="80"/>
                                <w:sz w:val="36"/>
                              </w:rPr>
                            </w:pPr>
                            <w:r>
                              <w:rPr>
                                <w:rFonts w:ascii="Arial" w:hAnsi="Arial" w:cs="Arial"/>
                                <w:b/>
                                <w:color w:val="1F3864" w:themeColor="accent5" w:themeShade="80"/>
                                <w:sz w:val="36"/>
                              </w:rPr>
                              <w:t>Education and Training Committee</w:t>
                            </w:r>
                          </w:p>
                          <w:p w14:paraId="56AB41E9" w14:textId="6546D061" w:rsidR="009E2531" w:rsidRPr="009E2531" w:rsidRDefault="00585755" w:rsidP="009E2531">
                            <w:pPr>
                              <w:spacing w:after="0"/>
                              <w:rPr>
                                <w:rFonts w:ascii="Arial" w:hAnsi="Arial" w:cs="Arial"/>
                                <w:b/>
                                <w:color w:val="1F3864" w:themeColor="accent5" w:themeShade="80"/>
                                <w:sz w:val="36"/>
                              </w:rPr>
                            </w:pPr>
                            <w:r>
                              <w:rPr>
                                <w:rFonts w:ascii="Arial" w:hAnsi="Arial" w:cs="Arial"/>
                                <w:b/>
                                <w:color w:val="1F3864" w:themeColor="accent5" w:themeShade="80"/>
                                <w:sz w:val="36"/>
                              </w:rPr>
                              <w:t>8 March</w:t>
                            </w:r>
                            <w:r w:rsidR="0073319E">
                              <w:rPr>
                                <w:rFonts w:ascii="Arial" w:hAnsi="Arial" w:cs="Arial"/>
                                <w:b/>
                                <w:color w:val="1F3864" w:themeColor="accent5" w:themeShade="80"/>
                                <w:sz w:val="36"/>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B41DD" id="_x0000_t202" coordsize="21600,21600" o:spt="202" path="m,l,21600r21600,l21600,xe">
                <v:stroke joinstyle="miter"/>
                <v:path gradientshapeok="t" o:connecttype="rect"/>
              </v:shapetype>
              <v:shape id="Text Box 2" o:spid="_x0000_s1026" type="#_x0000_t202" style="position:absolute;margin-left:-9.8pt;margin-top:-28.35pt;width:315.25pt;height:6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O4IQIAAB0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" stroked="f">
                <v:textbox>
                  <w:txbxContent>
                    <w:p w14:paraId="56AB41E8" w14:textId="213CCCD9" w:rsidR="009E2531" w:rsidRPr="009E2531" w:rsidRDefault="0073319E" w:rsidP="009E2531">
                      <w:pPr>
                        <w:spacing w:after="0" w:line="360" w:lineRule="auto"/>
                        <w:rPr>
                          <w:rFonts w:ascii="Arial" w:hAnsi="Arial" w:cs="Arial"/>
                          <w:b/>
                          <w:color w:val="1F3864" w:themeColor="accent5" w:themeShade="80"/>
                          <w:sz w:val="36"/>
                        </w:rPr>
                      </w:pPr>
                      <w:r>
                        <w:rPr>
                          <w:rFonts w:ascii="Arial" w:hAnsi="Arial" w:cs="Arial"/>
                          <w:b/>
                          <w:color w:val="1F3864" w:themeColor="accent5" w:themeShade="80"/>
                          <w:sz w:val="36"/>
                        </w:rPr>
                        <w:t>Education and Training Committee</w:t>
                      </w:r>
                    </w:p>
                    <w:p w14:paraId="56AB41E9" w14:textId="6546D061" w:rsidR="009E2531" w:rsidRPr="009E2531" w:rsidRDefault="00585755" w:rsidP="009E2531">
                      <w:pPr>
                        <w:spacing w:after="0"/>
                        <w:rPr>
                          <w:rFonts w:ascii="Arial" w:hAnsi="Arial" w:cs="Arial"/>
                          <w:b/>
                          <w:color w:val="1F3864" w:themeColor="accent5" w:themeShade="80"/>
                          <w:sz w:val="36"/>
                        </w:rPr>
                      </w:pPr>
                      <w:r>
                        <w:rPr>
                          <w:rFonts w:ascii="Arial" w:hAnsi="Arial" w:cs="Arial"/>
                          <w:b/>
                          <w:color w:val="1F3864" w:themeColor="accent5" w:themeShade="80"/>
                          <w:sz w:val="36"/>
                        </w:rPr>
                        <w:t>8 March</w:t>
                      </w:r>
                      <w:r w:rsidR="0073319E">
                        <w:rPr>
                          <w:rFonts w:ascii="Arial" w:hAnsi="Arial" w:cs="Arial"/>
                          <w:b/>
                          <w:color w:val="1F3864" w:themeColor="accent5" w:themeShade="80"/>
                          <w:sz w:val="36"/>
                        </w:rPr>
                        <w:t xml:space="preserve"> 2020</w:t>
                      </w:r>
                    </w:p>
                  </w:txbxContent>
                </v:textbox>
              </v:shape>
            </w:pict>
          </mc:Fallback>
        </mc:AlternateContent>
      </w:r>
      <w:r w:rsidRPr="00106D4F">
        <w:rPr>
          <w:b/>
          <w:noProof/>
          <w:color w:val="1F4E79" w:themeColor="accent1" w:themeShade="80"/>
          <w:sz w:val="24"/>
          <w:lang w:eastAsia="en-GB"/>
        </w:rPr>
        <w:drawing>
          <wp:anchor distT="0" distB="0" distL="114300" distR="114300" simplePos="0" relativeHeight="251659264" behindDoc="1" locked="0" layoutInCell="1" allowOverlap="1" wp14:anchorId="56AB41DF" wp14:editId="56AB41E0">
            <wp:simplePos x="0" y="0"/>
            <wp:positionH relativeFrom="page">
              <wp:posOffset>-21265</wp:posOffset>
            </wp:positionH>
            <wp:positionV relativeFrom="page">
              <wp:posOffset>0</wp:posOffset>
            </wp:positionV>
            <wp:extent cx="7588383" cy="160020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0" cstate="print">
                      <a:extLst>
                        <a:ext uri="{28A0092B-C50C-407E-A947-70E740481C1C}">
                          <a14:useLocalDpi xmlns:a14="http://schemas.microsoft.com/office/drawing/2010/main" val="0"/>
                        </a:ext>
                      </a:extLst>
                    </a:blip>
                    <a:srcRect b="84950"/>
                    <a:stretch>
                      <a:fillRect/>
                    </a:stretch>
                  </pic:blipFill>
                  <pic:spPr bwMode="auto">
                    <a:xfrm>
                      <a:off x="0" y="0"/>
                      <a:ext cx="7588516" cy="1600228"/>
                    </a:xfrm>
                    <a:prstGeom prst="rect">
                      <a:avLst/>
                    </a:prstGeom>
                    <a:noFill/>
                  </pic:spPr>
                </pic:pic>
              </a:graphicData>
            </a:graphic>
            <wp14:sizeRelH relativeFrom="page">
              <wp14:pctWidth>0</wp14:pctWidth>
            </wp14:sizeRelH>
            <wp14:sizeRelV relativeFrom="page">
              <wp14:pctHeight>0</wp14:pctHeight>
            </wp14:sizeRelV>
          </wp:anchor>
        </w:drawing>
      </w:r>
    </w:p>
    <w:p w14:paraId="56AB41AF" w14:textId="77777777" w:rsidR="009E2531" w:rsidRDefault="009E2531">
      <w:pPr>
        <w:rPr>
          <w:rFonts w:ascii="Arial" w:hAnsi="Arial" w:cs="Arial"/>
          <w:sz w:val="24"/>
          <w:szCs w:val="24"/>
        </w:rPr>
      </w:pPr>
    </w:p>
    <w:p w14:paraId="56AB41B0" w14:textId="77777777" w:rsidR="00701D6D" w:rsidRDefault="00701D6D" w:rsidP="00701D6D">
      <w:pPr>
        <w:rPr>
          <w:rFonts w:ascii="Arial" w:hAnsi="Arial" w:cs="Arial"/>
          <w:sz w:val="24"/>
          <w:szCs w:val="24"/>
        </w:rPr>
      </w:pPr>
    </w:p>
    <w:p w14:paraId="56AB41B2" w14:textId="4F79FA07" w:rsidR="00FC6C3B" w:rsidRDefault="00585755" w:rsidP="00FC6C3B">
      <w:pPr>
        <w:spacing w:after="0"/>
        <w:rPr>
          <w:rFonts w:ascii="Arial" w:hAnsi="Arial" w:cs="Arial"/>
          <w:color w:val="1F3864" w:themeColor="accent5" w:themeShade="80"/>
          <w:sz w:val="32"/>
          <w:szCs w:val="24"/>
        </w:rPr>
      </w:pPr>
      <w:r>
        <w:rPr>
          <w:rFonts w:ascii="Arial" w:hAnsi="Arial" w:cs="Arial"/>
          <w:color w:val="1F3864" w:themeColor="accent5" w:themeShade="80"/>
          <w:sz w:val="32"/>
          <w:szCs w:val="24"/>
        </w:rPr>
        <w:t>Degree apprenticeship review</w:t>
      </w:r>
      <w:r w:rsidR="0073319E" w:rsidRPr="0073319E">
        <w:rPr>
          <w:rFonts w:ascii="Arial" w:hAnsi="Arial" w:cs="Arial"/>
          <w:color w:val="1F3864" w:themeColor="accent5" w:themeShade="80"/>
          <w:sz w:val="32"/>
          <w:szCs w:val="24"/>
        </w:rPr>
        <w:t xml:space="preserve"> – </w:t>
      </w:r>
      <w:r>
        <w:rPr>
          <w:rFonts w:ascii="Arial" w:hAnsi="Arial" w:cs="Arial"/>
          <w:color w:val="1F3864" w:themeColor="accent5" w:themeShade="80"/>
          <w:sz w:val="32"/>
          <w:szCs w:val="24"/>
        </w:rPr>
        <w:t>2019-20 and across the last three years</w:t>
      </w:r>
    </w:p>
    <w:p w14:paraId="21399529" w14:textId="77777777" w:rsidR="00585755" w:rsidRPr="00701D6D" w:rsidRDefault="00585755" w:rsidP="00FC6C3B">
      <w:pPr>
        <w:spacing w:after="0"/>
        <w:rPr>
          <w:rFonts w:ascii="Arial" w:hAnsi="Arial" w:cs="Arial"/>
          <w:color w:val="1F3864" w:themeColor="accent5" w:themeShade="80"/>
          <w:sz w:val="32"/>
          <w:szCs w:val="24"/>
        </w:rPr>
      </w:pPr>
    </w:p>
    <w:tbl>
      <w:tblPr>
        <w:tblStyle w:val="TableGridLight"/>
        <w:tblW w:w="9671" w:type="dxa"/>
        <w:tblLook w:val="04A0" w:firstRow="1" w:lastRow="0" w:firstColumn="1" w:lastColumn="0" w:noHBand="0" w:noVBand="1"/>
      </w:tblPr>
      <w:tblGrid>
        <w:gridCol w:w="2405"/>
        <w:gridCol w:w="7266"/>
      </w:tblGrid>
      <w:tr w:rsidR="000E6D60" w14:paraId="56AB41B9" w14:textId="77777777" w:rsidTr="001C04F3">
        <w:trPr>
          <w:trHeight w:val="2629"/>
        </w:trPr>
        <w:tc>
          <w:tcPr>
            <w:tcW w:w="9671" w:type="dxa"/>
            <w:gridSpan w:val="2"/>
            <w:tcBorders>
              <w:top w:val="single" w:sz="6" w:space="0" w:color="1F3864" w:themeColor="accent5" w:themeShade="80"/>
              <w:left w:val="nil"/>
              <w:bottom w:val="single" w:sz="6" w:space="0" w:color="1F3864" w:themeColor="accent5" w:themeShade="80"/>
              <w:right w:val="nil"/>
            </w:tcBorders>
          </w:tcPr>
          <w:p w14:paraId="56AB41B3" w14:textId="77777777" w:rsidR="009B293D" w:rsidRDefault="009B293D" w:rsidP="000E6D60">
            <w:pPr>
              <w:ind w:left="-120"/>
              <w:rPr>
                <w:rFonts w:ascii="Arial" w:hAnsi="Arial" w:cs="Arial"/>
                <w:color w:val="1F3864" w:themeColor="accent5" w:themeShade="80"/>
                <w:sz w:val="28"/>
                <w:szCs w:val="24"/>
              </w:rPr>
            </w:pPr>
          </w:p>
          <w:p w14:paraId="56AB41B4" w14:textId="77777777" w:rsidR="000E6D60" w:rsidRDefault="000E6D60" w:rsidP="000E6D60">
            <w:pPr>
              <w:ind w:left="-120"/>
              <w:rPr>
                <w:rFonts w:ascii="Arial" w:hAnsi="Arial" w:cs="Arial"/>
                <w:color w:val="1F3864" w:themeColor="accent5" w:themeShade="80"/>
                <w:sz w:val="28"/>
                <w:szCs w:val="24"/>
              </w:rPr>
            </w:pPr>
            <w:r w:rsidRPr="000E6D60">
              <w:rPr>
                <w:rFonts w:ascii="Arial" w:hAnsi="Arial" w:cs="Arial"/>
                <w:color w:val="1F3864" w:themeColor="accent5" w:themeShade="80"/>
                <w:sz w:val="28"/>
                <w:szCs w:val="24"/>
              </w:rPr>
              <w:t>Executive Summary</w:t>
            </w:r>
          </w:p>
          <w:p w14:paraId="56AB41B5" w14:textId="77777777" w:rsidR="000E6D60" w:rsidRPr="000E6D60" w:rsidRDefault="000E6D60" w:rsidP="00701D6D">
            <w:pPr>
              <w:rPr>
                <w:rFonts w:ascii="Arial" w:hAnsi="Arial" w:cs="Arial"/>
                <w:color w:val="1F3864" w:themeColor="accent5" w:themeShade="80"/>
                <w:sz w:val="28"/>
                <w:szCs w:val="24"/>
              </w:rPr>
            </w:pPr>
          </w:p>
          <w:p w14:paraId="5AD13581" w14:textId="1C4D2787" w:rsidR="0073319E" w:rsidRDefault="0073319E" w:rsidP="0073319E">
            <w:pPr>
              <w:rPr>
                <w:rFonts w:ascii="Arial" w:hAnsi="Arial" w:cs="Arial"/>
                <w:sz w:val="24"/>
                <w:szCs w:val="24"/>
              </w:rPr>
            </w:pPr>
            <w:r w:rsidRPr="0073319E">
              <w:rPr>
                <w:rFonts w:ascii="Arial" w:hAnsi="Arial" w:cs="Arial"/>
                <w:sz w:val="24"/>
                <w:szCs w:val="24"/>
              </w:rPr>
              <w:t>The purpose of this paper is to:</w:t>
            </w:r>
          </w:p>
          <w:p w14:paraId="56F21F96" w14:textId="77777777" w:rsidR="00DA4E20" w:rsidRPr="0073319E" w:rsidRDefault="00DA4E20" w:rsidP="0073319E">
            <w:pPr>
              <w:rPr>
                <w:rFonts w:ascii="Arial" w:hAnsi="Arial" w:cs="Arial"/>
                <w:sz w:val="24"/>
                <w:szCs w:val="24"/>
              </w:rPr>
            </w:pPr>
          </w:p>
          <w:p w14:paraId="195B3787" w14:textId="77EEC3D9" w:rsidR="00BF4CDB" w:rsidRDefault="00585755" w:rsidP="00BF4CDB">
            <w:pPr>
              <w:pStyle w:val="ListParagraph"/>
              <w:numPr>
                <w:ilvl w:val="0"/>
                <w:numId w:val="2"/>
              </w:numPr>
              <w:contextualSpacing/>
              <w:rPr>
                <w:rFonts w:ascii="Arial" w:hAnsi="Arial" w:cs="Arial"/>
                <w:sz w:val="24"/>
                <w:szCs w:val="24"/>
              </w:rPr>
            </w:pPr>
            <w:r>
              <w:rPr>
                <w:rFonts w:ascii="Arial" w:hAnsi="Arial" w:cs="Arial"/>
                <w:sz w:val="24"/>
                <w:szCs w:val="24"/>
              </w:rPr>
              <w:t xml:space="preserve">Provide an overview of the Department’s quality assurance work with degree apprenticeship programmes during the 2019-20 academic year, and a comparative review of the last three full academic years. </w:t>
            </w:r>
          </w:p>
          <w:p w14:paraId="5E444871" w14:textId="77777777" w:rsidR="00DA4E20" w:rsidRPr="0073319E" w:rsidRDefault="00DA4E20" w:rsidP="00DA4E20">
            <w:pPr>
              <w:pStyle w:val="ListParagraph"/>
              <w:contextualSpacing/>
              <w:rPr>
                <w:rFonts w:ascii="Arial" w:hAnsi="Arial" w:cs="Arial"/>
                <w:sz w:val="24"/>
                <w:szCs w:val="24"/>
              </w:rPr>
            </w:pPr>
          </w:p>
          <w:p w14:paraId="286C131E" w14:textId="77777777" w:rsidR="002D0D6D" w:rsidRDefault="00585755" w:rsidP="0073319E">
            <w:pPr>
              <w:pStyle w:val="ListParagraph"/>
              <w:numPr>
                <w:ilvl w:val="0"/>
                <w:numId w:val="2"/>
              </w:numPr>
              <w:contextualSpacing/>
              <w:rPr>
                <w:rFonts w:ascii="Arial" w:hAnsi="Arial" w:cs="Arial"/>
                <w:sz w:val="24"/>
                <w:szCs w:val="24"/>
              </w:rPr>
            </w:pPr>
            <w:r>
              <w:rPr>
                <w:rFonts w:ascii="Arial" w:hAnsi="Arial" w:cs="Arial"/>
                <w:sz w:val="24"/>
                <w:szCs w:val="24"/>
              </w:rPr>
              <w:t>Provide recommendations for the Department’s future engagement with quality assurance of degree apprenticeship programmes</w:t>
            </w:r>
            <w:r w:rsidR="002D0D6D">
              <w:rPr>
                <w:rFonts w:ascii="Arial" w:hAnsi="Arial" w:cs="Arial"/>
                <w:sz w:val="24"/>
                <w:szCs w:val="24"/>
              </w:rPr>
              <w:t>.</w:t>
            </w:r>
          </w:p>
          <w:p w14:paraId="2D0D3E60" w14:textId="77777777" w:rsidR="002D0D6D" w:rsidRPr="002D0D6D" w:rsidRDefault="002D0D6D" w:rsidP="002D0D6D">
            <w:pPr>
              <w:pStyle w:val="ListParagraph"/>
              <w:rPr>
                <w:rFonts w:ascii="Arial" w:hAnsi="Arial" w:cs="Arial"/>
                <w:sz w:val="24"/>
                <w:szCs w:val="24"/>
              </w:rPr>
            </w:pPr>
          </w:p>
          <w:p w14:paraId="26FE7C38" w14:textId="31CE4041" w:rsidR="0073319E" w:rsidRDefault="002D0D6D" w:rsidP="0073319E">
            <w:pPr>
              <w:pStyle w:val="ListParagraph"/>
              <w:numPr>
                <w:ilvl w:val="0"/>
                <w:numId w:val="2"/>
              </w:numPr>
              <w:contextualSpacing/>
              <w:rPr>
                <w:rFonts w:ascii="Arial" w:hAnsi="Arial" w:cs="Arial"/>
                <w:sz w:val="24"/>
                <w:szCs w:val="24"/>
              </w:rPr>
            </w:pPr>
            <w:r>
              <w:rPr>
                <w:rFonts w:ascii="Arial" w:hAnsi="Arial" w:cs="Arial"/>
                <w:sz w:val="24"/>
                <w:szCs w:val="24"/>
              </w:rPr>
              <w:t>Provide an opportunity for discussion and any questions.</w:t>
            </w:r>
            <w:r w:rsidR="00585755">
              <w:rPr>
                <w:rFonts w:ascii="Arial" w:hAnsi="Arial" w:cs="Arial"/>
                <w:sz w:val="24"/>
                <w:szCs w:val="24"/>
              </w:rPr>
              <w:t xml:space="preserve"> </w:t>
            </w:r>
          </w:p>
          <w:p w14:paraId="0843CC2C" w14:textId="77777777" w:rsidR="00DA4E20" w:rsidRPr="00DA4E20" w:rsidRDefault="00DA4E20" w:rsidP="00DA4E20">
            <w:pPr>
              <w:contextualSpacing/>
              <w:rPr>
                <w:rFonts w:ascii="Arial" w:hAnsi="Arial" w:cs="Arial"/>
                <w:sz w:val="24"/>
                <w:szCs w:val="24"/>
              </w:rPr>
            </w:pPr>
          </w:p>
          <w:p w14:paraId="56AB41B7" w14:textId="77777777" w:rsidR="000E6D60" w:rsidRPr="00FC6C3B" w:rsidRDefault="000E6D60" w:rsidP="000E6D60">
            <w:pPr>
              <w:ind w:left="-120"/>
              <w:rPr>
                <w:rFonts w:ascii="Arial" w:hAnsi="Arial" w:cs="Arial"/>
                <w:sz w:val="24"/>
                <w:szCs w:val="24"/>
              </w:rPr>
            </w:pPr>
          </w:p>
          <w:p w14:paraId="56AB41B8" w14:textId="77777777" w:rsidR="000E6D60" w:rsidRPr="00FC6C3B" w:rsidRDefault="000E6D60" w:rsidP="00701D6D">
            <w:pPr>
              <w:rPr>
                <w:rFonts w:ascii="Arial" w:hAnsi="Arial" w:cs="Arial"/>
                <w:sz w:val="24"/>
                <w:szCs w:val="24"/>
              </w:rPr>
            </w:pPr>
          </w:p>
        </w:tc>
      </w:tr>
      <w:tr w:rsidR="00501321" w14:paraId="56AB41BE" w14:textId="77777777" w:rsidTr="001C04F3">
        <w:trPr>
          <w:trHeight w:val="854"/>
        </w:trPr>
        <w:tc>
          <w:tcPr>
            <w:tcW w:w="2405" w:type="dxa"/>
            <w:tcBorders>
              <w:top w:val="single" w:sz="6" w:space="0" w:color="1F3864" w:themeColor="accent5" w:themeShade="80"/>
              <w:left w:val="nil"/>
              <w:bottom w:val="nil"/>
              <w:right w:val="nil"/>
            </w:tcBorders>
          </w:tcPr>
          <w:p w14:paraId="56AB41BA" w14:textId="77777777" w:rsidR="00501321" w:rsidRPr="002D0D6D" w:rsidRDefault="00501321" w:rsidP="00954F8D">
            <w:pPr>
              <w:ind w:right="168"/>
              <w:jc w:val="right"/>
              <w:rPr>
                <w:rFonts w:ascii="Arial" w:hAnsi="Arial" w:cs="Arial"/>
                <w:color w:val="1F3864" w:themeColor="accent5" w:themeShade="80"/>
                <w:sz w:val="24"/>
                <w:szCs w:val="24"/>
              </w:rPr>
            </w:pPr>
            <w:r w:rsidRPr="002D0D6D">
              <w:rPr>
                <w:rFonts w:ascii="Arial" w:hAnsi="Arial" w:cs="Arial"/>
                <w:color w:val="1F3864" w:themeColor="accent5" w:themeShade="80"/>
                <w:sz w:val="24"/>
                <w:szCs w:val="24"/>
              </w:rPr>
              <w:t>Previous consideration</w:t>
            </w:r>
          </w:p>
          <w:p w14:paraId="56AB41BB" w14:textId="77777777" w:rsidR="000E6D60" w:rsidRPr="002D0D6D" w:rsidRDefault="000E6D60" w:rsidP="009B293D">
            <w:pPr>
              <w:ind w:left="-120" w:right="168"/>
              <w:jc w:val="right"/>
              <w:rPr>
                <w:rFonts w:ascii="Arial" w:hAnsi="Arial" w:cs="Arial"/>
                <w:color w:val="1F3864" w:themeColor="accent5" w:themeShade="80"/>
                <w:sz w:val="24"/>
                <w:szCs w:val="24"/>
              </w:rPr>
            </w:pPr>
          </w:p>
        </w:tc>
        <w:tc>
          <w:tcPr>
            <w:tcW w:w="7266" w:type="dxa"/>
            <w:tcBorders>
              <w:top w:val="single" w:sz="6" w:space="0" w:color="1F3864" w:themeColor="accent5" w:themeShade="80"/>
              <w:left w:val="nil"/>
              <w:bottom w:val="dotted" w:sz="6" w:space="0" w:color="1F3864" w:themeColor="accent5" w:themeShade="80"/>
              <w:right w:val="nil"/>
            </w:tcBorders>
            <w:shd w:val="clear" w:color="auto" w:fill="auto"/>
          </w:tcPr>
          <w:p w14:paraId="767E1346" w14:textId="712FDB56" w:rsidR="000E6D60" w:rsidRPr="002D0D6D" w:rsidRDefault="00DC282E" w:rsidP="00DC282E">
            <w:pPr>
              <w:pStyle w:val="ListParagraph"/>
              <w:numPr>
                <w:ilvl w:val="0"/>
                <w:numId w:val="6"/>
              </w:numPr>
              <w:contextualSpacing/>
              <w:rPr>
                <w:rFonts w:ascii="Arial" w:hAnsi="Arial" w:cs="Arial"/>
                <w:color w:val="000000" w:themeColor="text1"/>
                <w:sz w:val="24"/>
                <w:szCs w:val="24"/>
              </w:rPr>
            </w:pPr>
            <w:r w:rsidRPr="002D0D6D">
              <w:rPr>
                <w:rFonts w:ascii="Arial" w:hAnsi="Arial" w:cs="Arial"/>
                <w:color w:val="000000" w:themeColor="text1"/>
                <w:sz w:val="24"/>
                <w:szCs w:val="24"/>
              </w:rPr>
              <w:t xml:space="preserve">Reviewing our approach to quality assuring Higher and Degree Apprenticeships – dealing with initial work with degree apprenticeships </w:t>
            </w:r>
            <w:hyperlink r:id="rId11" w:history="1">
              <w:r w:rsidRPr="00A04542">
                <w:rPr>
                  <w:rStyle w:val="Hyperlink"/>
                  <w:rFonts w:ascii="Arial" w:hAnsi="Arial" w:cs="Arial"/>
                  <w:sz w:val="24"/>
                  <w:szCs w:val="24"/>
                </w:rPr>
                <w:t>in 2017-18</w:t>
              </w:r>
            </w:hyperlink>
            <w:r w:rsidRPr="002D0D6D">
              <w:rPr>
                <w:rFonts w:ascii="Arial" w:hAnsi="Arial" w:cs="Arial"/>
                <w:color w:val="000000" w:themeColor="text1"/>
                <w:sz w:val="24"/>
                <w:szCs w:val="24"/>
              </w:rPr>
              <w:t xml:space="preserve"> </w:t>
            </w:r>
          </w:p>
          <w:p w14:paraId="56AB41BD" w14:textId="7536B3BF" w:rsidR="00DC282E" w:rsidRPr="002D0D6D" w:rsidRDefault="00DC282E" w:rsidP="00CC74FD">
            <w:pPr>
              <w:pStyle w:val="ListParagraph"/>
              <w:numPr>
                <w:ilvl w:val="0"/>
                <w:numId w:val="6"/>
              </w:numPr>
              <w:contextualSpacing/>
              <w:rPr>
                <w:rFonts w:ascii="Arial" w:hAnsi="Arial" w:cs="Arial"/>
                <w:color w:val="000000" w:themeColor="text1"/>
                <w:sz w:val="24"/>
                <w:szCs w:val="24"/>
              </w:rPr>
            </w:pPr>
            <w:r w:rsidRPr="002D0D6D">
              <w:rPr>
                <w:rFonts w:ascii="Arial" w:hAnsi="Arial" w:cs="Arial"/>
                <w:color w:val="000000" w:themeColor="text1"/>
                <w:sz w:val="24"/>
                <w:szCs w:val="24"/>
              </w:rPr>
              <w:t xml:space="preserve">Reviewing our approach to quality assuring Higher and Degree Apprenticeships </w:t>
            </w:r>
            <w:hyperlink r:id="rId12" w:history="1">
              <w:r w:rsidRPr="00A04542">
                <w:rPr>
                  <w:rStyle w:val="Hyperlink"/>
                  <w:rFonts w:ascii="Arial" w:hAnsi="Arial" w:cs="Arial"/>
                  <w:sz w:val="24"/>
                  <w:szCs w:val="24"/>
                </w:rPr>
                <w:t>from 2018-19</w:t>
              </w:r>
            </w:hyperlink>
            <w:r w:rsidR="00CC74FD">
              <w:rPr>
                <w:rFonts w:ascii="Arial" w:hAnsi="Arial" w:cs="Arial"/>
                <w:color w:val="000000" w:themeColor="text1"/>
                <w:sz w:val="24"/>
                <w:szCs w:val="24"/>
              </w:rPr>
              <w:t xml:space="preserve"> </w:t>
            </w:r>
          </w:p>
        </w:tc>
      </w:tr>
      <w:tr w:rsidR="009E2531" w14:paraId="56AB41C2" w14:textId="77777777" w:rsidTr="009B293D">
        <w:trPr>
          <w:trHeight w:val="842"/>
        </w:trPr>
        <w:tc>
          <w:tcPr>
            <w:tcW w:w="2405" w:type="dxa"/>
            <w:tcBorders>
              <w:top w:val="nil"/>
              <w:left w:val="nil"/>
              <w:bottom w:val="nil"/>
              <w:right w:val="nil"/>
            </w:tcBorders>
          </w:tcPr>
          <w:p w14:paraId="56AB41BF" w14:textId="77777777" w:rsidR="009E2531" w:rsidRPr="002D0D6D" w:rsidRDefault="00954F8D" w:rsidP="009B293D">
            <w:pPr>
              <w:ind w:left="-120" w:right="168"/>
              <w:jc w:val="right"/>
              <w:rPr>
                <w:rFonts w:ascii="Arial" w:hAnsi="Arial" w:cs="Arial"/>
                <w:color w:val="1F3864" w:themeColor="accent5" w:themeShade="80"/>
                <w:sz w:val="24"/>
                <w:szCs w:val="24"/>
              </w:rPr>
            </w:pPr>
            <w:r w:rsidRPr="002D0D6D">
              <w:rPr>
                <w:rFonts w:ascii="Arial" w:hAnsi="Arial" w:cs="Arial"/>
                <w:color w:val="1F3864" w:themeColor="accent5" w:themeShade="80"/>
                <w:sz w:val="24"/>
                <w:szCs w:val="24"/>
              </w:rPr>
              <w:t>Decision</w:t>
            </w:r>
          </w:p>
        </w:tc>
        <w:tc>
          <w:tcPr>
            <w:tcW w:w="7266" w:type="dxa"/>
            <w:tcBorders>
              <w:top w:val="dotted" w:sz="6" w:space="0" w:color="1F3864" w:themeColor="accent5" w:themeShade="80"/>
              <w:left w:val="nil"/>
              <w:bottom w:val="dotted" w:sz="6" w:space="0" w:color="1F3864" w:themeColor="accent5" w:themeShade="80"/>
              <w:right w:val="nil"/>
            </w:tcBorders>
          </w:tcPr>
          <w:p w14:paraId="56AB41C1" w14:textId="4EFCC705" w:rsidR="00954F8D" w:rsidRPr="002D0D6D" w:rsidRDefault="002D0D6D" w:rsidP="002D0D6D">
            <w:pPr>
              <w:pStyle w:val="ListParagraph"/>
              <w:numPr>
                <w:ilvl w:val="0"/>
                <w:numId w:val="22"/>
              </w:numPr>
              <w:spacing w:line="280" w:lineRule="exact"/>
              <w:ind w:right="-69"/>
              <w:contextualSpacing/>
              <w:rPr>
                <w:rFonts w:ascii="Arial" w:hAnsi="Arial" w:cs="Arial"/>
                <w:color w:val="000000" w:themeColor="text1"/>
                <w:sz w:val="24"/>
                <w:szCs w:val="24"/>
              </w:rPr>
            </w:pPr>
            <w:r w:rsidRPr="002D0D6D">
              <w:rPr>
                <w:rFonts w:ascii="Arial" w:hAnsi="Arial" w:cs="Arial"/>
                <w:color w:val="000000" w:themeColor="text1"/>
                <w:sz w:val="24"/>
                <w:szCs w:val="24"/>
              </w:rPr>
              <w:t xml:space="preserve">The Committee is invited to discuss and ask any questions it may desire. </w:t>
            </w:r>
          </w:p>
        </w:tc>
      </w:tr>
      <w:tr w:rsidR="00FC6C3B" w14:paraId="56AB41C5" w14:textId="77777777" w:rsidTr="009B293D">
        <w:trPr>
          <w:trHeight w:val="894"/>
        </w:trPr>
        <w:tc>
          <w:tcPr>
            <w:tcW w:w="2405" w:type="dxa"/>
            <w:tcBorders>
              <w:top w:val="nil"/>
              <w:left w:val="nil"/>
              <w:bottom w:val="nil"/>
              <w:right w:val="nil"/>
            </w:tcBorders>
          </w:tcPr>
          <w:p w14:paraId="56AB41C3" w14:textId="77777777" w:rsidR="00FC6C3B" w:rsidRPr="009B293D" w:rsidRDefault="00FC6C3B" w:rsidP="009B293D">
            <w:pPr>
              <w:ind w:left="-120" w:right="168"/>
              <w:jc w:val="right"/>
              <w:rPr>
                <w:rFonts w:ascii="Arial" w:hAnsi="Arial" w:cs="Arial"/>
                <w:color w:val="1F3864" w:themeColor="accent5" w:themeShade="80"/>
                <w:sz w:val="24"/>
                <w:szCs w:val="24"/>
              </w:rPr>
            </w:pPr>
            <w:r w:rsidRPr="009B293D">
              <w:rPr>
                <w:rFonts w:ascii="Arial" w:hAnsi="Arial" w:cs="Arial"/>
                <w:color w:val="1F3864" w:themeColor="accent5" w:themeShade="80"/>
                <w:sz w:val="24"/>
                <w:szCs w:val="24"/>
              </w:rPr>
              <w:t>Next steps</w:t>
            </w:r>
          </w:p>
        </w:tc>
        <w:tc>
          <w:tcPr>
            <w:tcW w:w="7266" w:type="dxa"/>
            <w:tcBorders>
              <w:top w:val="dotted" w:sz="6" w:space="0" w:color="1F3864" w:themeColor="accent5" w:themeShade="80"/>
              <w:left w:val="nil"/>
              <w:bottom w:val="dotted" w:sz="6" w:space="0" w:color="1F3864" w:themeColor="accent5" w:themeShade="80"/>
              <w:right w:val="nil"/>
            </w:tcBorders>
          </w:tcPr>
          <w:p w14:paraId="1A39BA62" w14:textId="5DA61751" w:rsidR="0073319E" w:rsidRPr="0073319E" w:rsidRDefault="00E2189D" w:rsidP="0073319E">
            <w:pPr>
              <w:pStyle w:val="Heading2"/>
              <w:numPr>
                <w:ilvl w:val="0"/>
                <w:numId w:val="3"/>
              </w:numPr>
              <w:spacing w:line="240" w:lineRule="auto"/>
              <w:ind w:right="-69"/>
              <w:outlineLvl w:val="1"/>
              <w:rPr>
                <w:b w:val="0"/>
                <w:bCs w:val="0"/>
                <w:color w:val="000000" w:themeColor="text1"/>
                <w:sz w:val="24"/>
                <w:szCs w:val="24"/>
              </w:rPr>
            </w:pPr>
            <w:r>
              <w:rPr>
                <w:b w:val="0"/>
                <w:bCs w:val="0"/>
                <w:color w:val="000000" w:themeColor="text1"/>
                <w:sz w:val="24"/>
                <w:szCs w:val="24"/>
              </w:rPr>
              <w:t>Executive to a</w:t>
            </w:r>
            <w:r w:rsidR="0073319E" w:rsidRPr="0073319E">
              <w:rPr>
                <w:b w:val="0"/>
                <w:bCs w:val="0"/>
                <w:color w:val="000000" w:themeColor="text1"/>
                <w:sz w:val="24"/>
                <w:szCs w:val="24"/>
              </w:rPr>
              <w:t>ct on decisions made by the Committee, including arranging proposed activity</w:t>
            </w:r>
            <w:r w:rsidR="002D0D6D">
              <w:rPr>
                <w:b w:val="0"/>
                <w:bCs w:val="0"/>
                <w:color w:val="000000" w:themeColor="text1"/>
                <w:sz w:val="24"/>
                <w:szCs w:val="24"/>
              </w:rPr>
              <w:t>.</w:t>
            </w:r>
          </w:p>
          <w:p w14:paraId="56AB41C4" w14:textId="45F53DBE" w:rsidR="00DA4E20" w:rsidRPr="0073319E" w:rsidRDefault="00DA4E20" w:rsidP="00CE727F">
            <w:pPr>
              <w:pStyle w:val="ListParagraph"/>
              <w:ind w:left="610"/>
              <w:rPr>
                <w:lang w:eastAsia="en-GB"/>
              </w:rPr>
            </w:pPr>
          </w:p>
        </w:tc>
      </w:tr>
      <w:tr w:rsidR="009E2531" w14:paraId="56AB41CB" w14:textId="77777777" w:rsidTr="009B293D">
        <w:trPr>
          <w:trHeight w:val="888"/>
        </w:trPr>
        <w:tc>
          <w:tcPr>
            <w:tcW w:w="2405" w:type="dxa"/>
            <w:tcBorders>
              <w:top w:val="nil"/>
              <w:left w:val="nil"/>
              <w:bottom w:val="nil"/>
              <w:right w:val="nil"/>
            </w:tcBorders>
          </w:tcPr>
          <w:p w14:paraId="56AB41C6" w14:textId="77777777" w:rsidR="009E2531" w:rsidRPr="009B293D" w:rsidRDefault="009E2531" w:rsidP="009B293D">
            <w:pPr>
              <w:ind w:left="-120" w:right="168"/>
              <w:jc w:val="right"/>
              <w:rPr>
                <w:rFonts w:ascii="Arial" w:hAnsi="Arial" w:cs="Arial"/>
                <w:color w:val="1F3864" w:themeColor="accent5" w:themeShade="80"/>
                <w:sz w:val="24"/>
                <w:szCs w:val="24"/>
              </w:rPr>
            </w:pPr>
            <w:r w:rsidRPr="009B293D">
              <w:rPr>
                <w:rFonts w:ascii="Arial" w:hAnsi="Arial" w:cs="Arial"/>
                <w:color w:val="1F3864" w:themeColor="accent5" w:themeShade="80"/>
                <w:sz w:val="24"/>
                <w:szCs w:val="24"/>
              </w:rPr>
              <w:t>Strategic priority</w:t>
            </w:r>
          </w:p>
        </w:tc>
        <w:tc>
          <w:tcPr>
            <w:tcW w:w="7266" w:type="dxa"/>
            <w:tcBorders>
              <w:top w:val="dotted" w:sz="6" w:space="0" w:color="1F3864" w:themeColor="accent5" w:themeShade="80"/>
              <w:left w:val="nil"/>
              <w:bottom w:val="dotted" w:sz="6" w:space="0" w:color="1F3864" w:themeColor="accent5" w:themeShade="80"/>
              <w:right w:val="nil"/>
            </w:tcBorders>
          </w:tcPr>
          <w:p w14:paraId="56AB41CA" w14:textId="32484F76" w:rsidR="00DA4E20" w:rsidRPr="00507F19" w:rsidRDefault="002D0D6D" w:rsidP="00CE727F">
            <w:pPr>
              <w:pStyle w:val="NoSpacing"/>
              <w:ind w:right="-69"/>
              <w:rPr>
                <w:rFonts w:ascii="Arial" w:hAnsi="Arial" w:cs="Arial"/>
                <w:color w:val="000000" w:themeColor="text1"/>
                <w:sz w:val="24"/>
                <w:szCs w:val="24"/>
                <w:highlight w:val="yellow"/>
              </w:rPr>
            </w:pPr>
            <w:r>
              <w:rPr>
                <w:rStyle w:val="normaltextrun"/>
                <w:rFonts w:ascii="Arial" w:hAnsi="Arial" w:cs="Arial"/>
                <w:color w:val="000000"/>
                <w:shd w:val="clear" w:color="auto" w:fill="FFFFFF"/>
              </w:rPr>
              <w:t>The strategic priorities set in 2018 are no longer current. We are developing a new strategy that we aim to confirm at the end of 2020.</w:t>
            </w:r>
            <w:r>
              <w:rPr>
                <w:rStyle w:val="eop"/>
                <w:rFonts w:ascii="Arial" w:hAnsi="Arial" w:cs="Arial"/>
                <w:color w:val="000000"/>
                <w:shd w:val="clear" w:color="auto" w:fill="FFFFFF"/>
              </w:rPr>
              <w:t> </w:t>
            </w:r>
          </w:p>
        </w:tc>
      </w:tr>
      <w:tr w:rsidR="009E2531" w14:paraId="56AB41D2" w14:textId="77777777" w:rsidTr="009B293D">
        <w:trPr>
          <w:trHeight w:val="1112"/>
        </w:trPr>
        <w:tc>
          <w:tcPr>
            <w:tcW w:w="2405" w:type="dxa"/>
            <w:tcBorders>
              <w:top w:val="nil"/>
              <w:left w:val="nil"/>
              <w:bottom w:val="nil"/>
              <w:right w:val="nil"/>
            </w:tcBorders>
          </w:tcPr>
          <w:p w14:paraId="56AB41CC" w14:textId="77777777" w:rsidR="009E2531" w:rsidRPr="009B293D" w:rsidRDefault="00501321" w:rsidP="009B293D">
            <w:pPr>
              <w:ind w:left="-120" w:right="168"/>
              <w:jc w:val="right"/>
              <w:rPr>
                <w:rFonts w:ascii="Arial" w:hAnsi="Arial" w:cs="Arial"/>
                <w:color w:val="1F3864" w:themeColor="accent5" w:themeShade="80"/>
                <w:sz w:val="24"/>
                <w:szCs w:val="24"/>
              </w:rPr>
            </w:pPr>
            <w:r w:rsidRPr="009B293D">
              <w:rPr>
                <w:rFonts w:ascii="Arial" w:hAnsi="Arial" w:cs="Arial"/>
                <w:color w:val="1F3864" w:themeColor="accent5" w:themeShade="80"/>
                <w:sz w:val="24"/>
                <w:szCs w:val="24"/>
              </w:rPr>
              <w:t>Risk</w:t>
            </w:r>
          </w:p>
        </w:tc>
        <w:tc>
          <w:tcPr>
            <w:tcW w:w="7266" w:type="dxa"/>
            <w:tcBorders>
              <w:top w:val="dotted" w:sz="6" w:space="0" w:color="1F3864" w:themeColor="accent5" w:themeShade="80"/>
              <w:left w:val="nil"/>
              <w:bottom w:val="dotted" w:sz="6" w:space="0" w:color="1F3864" w:themeColor="accent5" w:themeShade="80"/>
              <w:right w:val="nil"/>
            </w:tcBorders>
          </w:tcPr>
          <w:p w14:paraId="6354F6FA" w14:textId="77777777" w:rsidR="002D0D6D" w:rsidRPr="002D0D6D" w:rsidRDefault="002D0D6D" w:rsidP="002D0D6D">
            <w:pPr>
              <w:pStyle w:val="paragraph"/>
              <w:rPr>
                <w:rFonts w:ascii="Arial" w:hAnsi="Arial" w:cs="Arial"/>
                <w:color w:val="000000"/>
              </w:rPr>
            </w:pPr>
            <w:r w:rsidRPr="002D0D6D">
              <w:rPr>
                <w:rFonts w:ascii="Arial" w:hAnsi="Arial" w:cs="Arial"/>
                <w:color w:val="000000"/>
              </w:rPr>
              <w:t>Strategic risk 1-3: </w:t>
            </w:r>
          </w:p>
          <w:p w14:paraId="4D93B208" w14:textId="77777777" w:rsidR="002D0D6D" w:rsidRPr="002D0D6D" w:rsidRDefault="002D0D6D" w:rsidP="002D0D6D">
            <w:pPr>
              <w:pStyle w:val="paragraph"/>
              <w:numPr>
                <w:ilvl w:val="0"/>
                <w:numId w:val="25"/>
              </w:numPr>
              <w:ind w:right="-75"/>
              <w:rPr>
                <w:rFonts w:ascii="Arial" w:hAnsi="Arial" w:cs="Arial"/>
                <w:color w:val="000000"/>
              </w:rPr>
            </w:pPr>
            <w:r w:rsidRPr="002D0D6D">
              <w:rPr>
                <w:rFonts w:ascii="Arial" w:hAnsi="Arial" w:cs="Arial"/>
                <w:color w:val="000000"/>
              </w:rPr>
              <w:t>failure to deliver effective regulatory functions; and </w:t>
            </w:r>
          </w:p>
          <w:p w14:paraId="3621B53F" w14:textId="77777777" w:rsidR="002D0D6D" w:rsidRPr="002D0D6D" w:rsidRDefault="002D0D6D" w:rsidP="002D0D6D">
            <w:pPr>
              <w:pStyle w:val="paragraph"/>
              <w:numPr>
                <w:ilvl w:val="0"/>
                <w:numId w:val="25"/>
              </w:numPr>
              <w:ind w:right="-75"/>
              <w:rPr>
                <w:rFonts w:ascii="Arial" w:hAnsi="Arial" w:cs="Arial"/>
                <w:color w:val="000000"/>
              </w:rPr>
            </w:pPr>
            <w:r w:rsidRPr="002D0D6D">
              <w:rPr>
                <w:rFonts w:ascii="Arial" w:hAnsi="Arial" w:cs="Arial"/>
                <w:color w:val="000000"/>
              </w:rPr>
              <w:t>failure to be a trusted regulator and meet stakeholder expectations.  </w:t>
            </w:r>
          </w:p>
          <w:p w14:paraId="463311A5" w14:textId="77777777" w:rsidR="002D0D6D" w:rsidRPr="002D0D6D" w:rsidRDefault="002D0D6D" w:rsidP="002D0D6D">
            <w:pPr>
              <w:pStyle w:val="paragraph"/>
              <w:rPr>
                <w:rFonts w:ascii="Arial" w:hAnsi="Arial" w:cs="Arial"/>
                <w:color w:val="000000"/>
              </w:rPr>
            </w:pPr>
            <w:r w:rsidRPr="002D0D6D">
              <w:rPr>
                <w:rFonts w:ascii="Arial" w:hAnsi="Arial" w:cs="Arial"/>
                <w:color w:val="000000"/>
              </w:rPr>
              <w:t> </w:t>
            </w:r>
          </w:p>
          <w:p w14:paraId="3038C607" w14:textId="77777777" w:rsidR="002D0D6D" w:rsidRPr="002D0D6D" w:rsidRDefault="002D0D6D" w:rsidP="002D0D6D">
            <w:pPr>
              <w:pStyle w:val="paragraph"/>
              <w:rPr>
                <w:rFonts w:ascii="Arial" w:hAnsi="Arial" w:cs="Arial"/>
                <w:color w:val="000000"/>
              </w:rPr>
            </w:pPr>
            <w:r w:rsidRPr="002D0D6D">
              <w:rPr>
                <w:rFonts w:ascii="Arial" w:hAnsi="Arial" w:cs="Arial"/>
                <w:color w:val="000000"/>
              </w:rPr>
              <w:lastRenderedPageBreak/>
              <w:t>Risk appetite. The following sections are relevant to this paper: </w:t>
            </w:r>
          </w:p>
          <w:p w14:paraId="0D11C147" w14:textId="77777777" w:rsidR="002D0D6D" w:rsidRPr="002D0D6D" w:rsidRDefault="002D0D6D" w:rsidP="002D0D6D">
            <w:pPr>
              <w:pStyle w:val="paragraph"/>
              <w:numPr>
                <w:ilvl w:val="0"/>
                <w:numId w:val="26"/>
              </w:numPr>
              <w:ind w:right="-75"/>
              <w:rPr>
                <w:rFonts w:ascii="Arial" w:hAnsi="Arial" w:cs="Arial"/>
                <w:color w:val="000000"/>
              </w:rPr>
            </w:pPr>
            <w:r w:rsidRPr="002D0D6D">
              <w:rPr>
                <w:rFonts w:ascii="Arial" w:hAnsi="Arial" w:cs="Arial"/>
                <w:color w:val="000000"/>
              </w:rPr>
              <w:t>Public protection - The Council takes a minimal approach to public protection risks. Public protection is our aim and our strategy and processes are intended to provide this. </w:t>
            </w:r>
          </w:p>
          <w:p w14:paraId="7D308640" w14:textId="77777777" w:rsidR="002D0D6D" w:rsidRPr="002D0D6D" w:rsidRDefault="002D0D6D" w:rsidP="002D0D6D">
            <w:pPr>
              <w:pStyle w:val="paragraph"/>
              <w:numPr>
                <w:ilvl w:val="0"/>
                <w:numId w:val="26"/>
              </w:numPr>
              <w:ind w:right="-75"/>
              <w:rPr>
                <w:rFonts w:ascii="Arial" w:hAnsi="Arial" w:cs="Arial"/>
                <w:color w:val="000000"/>
              </w:rPr>
            </w:pPr>
            <w:r w:rsidRPr="002D0D6D">
              <w:rPr>
                <w:rFonts w:ascii="Arial" w:hAnsi="Arial" w:cs="Arial"/>
                <w:color w:val="000000"/>
              </w:rPr>
              <w:t>Compliance - The Council takes a minimal approach to compliance and regulatory risk. We will meet the law, regulations or standards in place to protect the public and employees and to protect data. </w:t>
            </w:r>
          </w:p>
          <w:p w14:paraId="499B2DB3" w14:textId="77777777" w:rsidR="002D0D6D" w:rsidRPr="002D0D6D" w:rsidRDefault="002D0D6D" w:rsidP="002D0D6D">
            <w:pPr>
              <w:pStyle w:val="paragraph"/>
              <w:numPr>
                <w:ilvl w:val="0"/>
                <w:numId w:val="26"/>
              </w:numPr>
              <w:ind w:right="-75"/>
              <w:rPr>
                <w:rFonts w:ascii="Arial" w:hAnsi="Arial" w:cs="Arial"/>
                <w:color w:val="000000"/>
              </w:rPr>
            </w:pPr>
            <w:r w:rsidRPr="002D0D6D">
              <w:rPr>
                <w:rFonts w:ascii="Arial" w:hAnsi="Arial" w:cs="Arial"/>
                <w:color w:val="000000"/>
              </w:rPr>
              <w:t>Innovation - The Council seeks innovation that supports public protection, quality and efficiency. We balance embracing new technology and ideas with impact and financial investment and assess projects accordingly. </w:t>
            </w:r>
          </w:p>
          <w:p w14:paraId="56AB41D1" w14:textId="7AED2B42" w:rsidR="00DA4E20" w:rsidRPr="002D0D6D" w:rsidRDefault="00DA4E20" w:rsidP="002D0D6D">
            <w:pPr>
              <w:ind w:right="-69"/>
              <w:rPr>
                <w:rFonts w:ascii="Arial" w:hAnsi="Arial" w:cs="Arial"/>
                <w:color w:val="000000" w:themeColor="text1"/>
                <w:sz w:val="24"/>
                <w:szCs w:val="24"/>
              </w:rPr>
            </w:pPr>
          </w:p>
        </w:tc>
      </w:tr>
      <w:tr w:rsidR="009E2531" w14:paraId="56AB41D6" w14:textId="77777777" w:rsidTr="009B293D">
        <w:trPr>
          <w:trHeight w:val="922"/>
        </w:trPr>
        <w:tc>
          <w:tcPr>
            <w:tcW w:w="2405" w:type="dxa"/>
            <w:tcBorders>
              <w:top w:val="nil"/>
              <w:left w:val="nil"/>
              <w:bottom w:val="nil"/>
              <w:right w:val="nil"/>
            </w:tcBorders>
          </w:tcPr>
          <w:p w14:paraId="56AB41D3" w14:textId="77777777" w:rsidR="009E2531" w:rsidRPr="009B293D" w:rsidRDefault="009E2531" w:rsidP="009B293D">
            <w:pPr>
              <w:ind w:left="-120" w:right="168"/>
              <w:jc w:val="right"/>
              <w:rPr>
                <w:rFonts w:ascii="Arial" w:hAnsi="Arial" w:cs="Arial"/>
                <w:color w:val="1F3864" w:themeColor="accent5" w:themeShade="80"/>
                <w:sz w:val="24"/>
                <w:szCs w:val="24"/>
              </w:rPr>
            </w:pPr>
            <w:r w:rsidRPr="009B293D">
              <w:rPr>
                <w:rFonts w:ascii="Arial" w:hAnsi="Arial" w:cs="Arial"/>
                <w:color w:val="1F3864" w:themeColor="accent5" w:themeShade="80"/>
                <w:sz w:val="24"/>
                <w:szCs w:val="24"/>
              </w:rPr>
              <w:lastRenderedPageBreak/>
              <w:t>Financial and resource implications</w:t>
            </w:r>
          </w:p>
          <w:p w14:paraId="56AB41D4" w14:textId="77777777" w:rsidR="009B293D" w:rsidRPr="009B293D" w:rsidRDefault="009B293D" w:rsidP="009B293D">
            <w:pPr>
              <w:ind w:left="-120" w:right="168"/>
              <w:jc w:val="right"/>
              <w:rPr>
                <w:rFonts w:ascii="Arial" w:hAnsi="Arial" w:cs="Arial"/>
                <w:color w:val="1F3864" w:themeColor="accent5" w:themeShade="80"/>
                <w:sz w:val="24"/>
                <w:szCs w:val="24"/>
              </w:rPr>
            </w:pPr>
          </w:p>
        </w:tc>
        <w:tc>
          <w:tcPr>
            <w:tcW w:w="7266" w:type="dxa"/>
            <w:tcBorders>
              <w:top w:val="dotted" w:sz="6" w:space="0" w:color="1F3864" w:themeColor="accent5" w:themeShade="80"/>
              <w:left w:val="nil"/>
              <w:bottom w:val="nil"/>
              <w:right w:val="nil"/>
            </w:tcBorders>
          </w:tcPr>
          <w:p w14:paraId="56AB41D5" w14:textId="11B5EBE1" w:rsidR="009E2531" w:rsidRPr="00507F19" w:rsidRDefault="00441809" w:rsidP="001C04F3">
            <w:pPr>
              <w:pStyle w:val="Default"/>
              <w:ind w:left="-110" w:right="-69"/>
              <w:rPr>
                <w:color w:val="000000" w:themeColor="text1"/>
                <w:highlight w:val="yellow"/>
              </w:rPr>
            </w:pPr>
            <w:r w:rsidRPr="00441809">
              <w:rPr>
                <w:color w:val="000000" w:themeColor="text1"/>
              </w:rPr>
              <w:t>Costs of development work included in 2020-21 budget.</w:t>
            </w:r>
          </w:p>
        </w:tc>
      </w:tr>
      <w:tr w:rsidR="009E2531" w14:paraId="56AB41DB" w14:textId="77777777" w:rsidTr="009B293D">
        <w:trPr>
          <w:trHeight w:val="841"/>
        </w:trPr>
        <w:tc>
          <w:tcPr>
            <w:tcW w:w="2405" w:type="dxa"/>
            <w:tcBorders>
              <w:top w:val="nil"/>
              <w:left w:val="nil"/>
              <w:bottom w:val="nil"/>
              <w:right w:val="nil"/>
            </w:tcBorders>
          </w:tcPr>
          <w:p w14:paraId="56AB41D7" w14:textId="77777777" w:rsidR="009E2531" w:rsidRPr="009B293D" w:rsidRDefault="009E2531" w:rsidP="009B293D">
            <w:pPr>
              <w:ind w:left="-120" w:right="168"/>
              <w:jc w:val="right"/>
              <w:rPr>
                <w:rFonts w:ascii="Arial" w:hAnsi="Arial" w:cs="Arial"/>
                <w:color w:val="1F3864" w:themeColor="accent5" w:themeShade="80"/>
                <w:sz w:val="24"/>
                <w:szCs w:val="24"/>
              </w:rPr>
            </w:pPr>
            <w:r w:rsidRPr="009B293D">
              <w:rPr>
                <w:rFonts w:ascii="Arial" w:hAnsi="Arial" w:cs="Arial"/>
                <w:color w:val="1F3864" w:themeColor="accent5" w:themeShade="80"/>
                <w:sz w:val="24"/>
                <w:szCs w:val="24"/>
              </w:rPr>
              <w:t>Author</w:t>
            </w:r>
          </w:p>
        </w:tc>
        <w:tc>
          <w:tcPr>
            <w:tcW w:w="7266" w:type="dxa"/>
            <w:tcBorders>
              <w:top w:val="dotted" w:sz="6" w:space="0" w:color="1F3864" w:themeColor="accent5" w:themeShade="80"/>
              <w:left w:val="nil"/>
              <w:bottom w:val="nil"/>
              <w:right w:val="nil"/>
            </w:tcBorders>
          </w:tcPr>
          <w:p w14:paraId="56AB41D8" w14:textId="773F63C8" w:rsidR="009E2531" w:rsidRPr="0073319E" w:rsidRDefault="00CE727F" w:rsidP="009B293D">
            <w:pPr>
              <w:ind w:left="-110" w:right="-69"/>
              <w:jc w:val="both"/>
              <w:rPr>
                <w:rFonts w:ascii="Arial" w:hAnsi="Arial" w:cs="Arial"/>
                <w:color w:val="000000" w:themeColor="text1"/>
                <w:sz w:val="24"/>
                <w:szCs w:val="24"/>
              </w:rPr>
            </w:pPr>
            <w:r>
              <w:rPr>
                <w:rFonts w:ascii="Arial" w:hAnsi="Arial" w:cs="Arial"/>
                <w:color w:val="000000" w:themeColor="text1"/>
                <w:sz w:val="24"/>
                <w:szCs w:val="24"/>
              </w:rPr>
              <w:t>Niall Gooch, Education Officer</w:t>
            </w:r>
          </w:p>
          <w:p w14:paraId="7F0250DC" w14:textId="77777777" w:rsidR="00CE727F" w:rsidRDefault="00DA10BE" w:rsidP="009B293D">
            <w:pPr>
              <w:ind w:left="-110" w:right="-69"/>
              <w:jc w:val="both"/>
              <w:rPr>
                <w:rFonts w:ascii="Arial" w:hAnsi="Arial" w:cs="Arial"/>
                <w:sz w:val="24"/>
                <w:szCs w:val="24"/>
              </w:rPr>
            </w:pPr>
            <w:hyperlink r:id="rId13" w:history="1">
              <w:r w:rsidR="00CE727F" w:rsidRPr="00C95EB5">
                <w:rPr>
                  <w:rStyle w:val="Hyperlink"/>
                  <w:rFonts w:ascii="Arial" w:hAnsi="Arial" w:cs="Arial"/>
                  <w:sz w:val="24"/>
                  <w:szCs w:val="24"/>
                </w:rPr>
                <w:t>niall.gooch@hcpc-uk.org</w:t>
              </w:r>
            </w:hyperlink>
            <w:r w:rsidR="00CE727F">
              <w:rPr>
                <w:rFonts w:ascii="Arial" w:hAnsi="Arial" w:cs="Arial"/>
                <w:sz w:val="24"/>
                <w:szCs w:val="24"/>
              </w:rPr>
              <w:t xml:space="preserve"> </w:t>
            </w:r>
          </w:p>
          <w:p w14:paraId="08E695AB" w14:textId="77777777" w:rsidR="00CE727F" w:rsidRDefault="00CE727F" w:rsidP="009B293D">
            <w:pPr>
              <w:ind w:left="-110" w:right="-69"/>
              <w:jc w:val="both"/>
              <w:rPr>
                <w:rFonts w:ascii="Arial" w:hAnsi="Arial" w:cs="Arial"/>
                <w:sz w:val="24"/>
                <w:szCs w:val="24"/>
              </w:rPr>
            </w:pPr>
          </w:p>
          <w:p w14:paraId="5ED1B9FD" w14:textId="77777777" w:rsidR="00CE727F" w:rsidRDefault="00CE727F" w:rsidP="009B293D">
            <w:pPr>
              <w:ind w:left="-110" w:right="-69"/>
              <w:jc w:val="both"/>
              <w:rPr>
                <w:rFonts w:ascii="Arial" w:hAnsi="Arial" w:cs="Arial"/>
                <w:sz w:val="24"/>
                <w:szCs w:val="24"/>
              </w:rPr>
            </w:pPr>
          </w:p>
          <w:p w14:paraId="29A5135E" w14:textId="77777777" w:rsidR="00CE727F" w:rsidRDefault="00CE727F" w:rsidP="009B293D">
            <w:pPr>
              <w:ind w:left="-110" w:right="-69"/>
              <w:jc w:val="both"/>
              <w:rPr>
                <w:rFonts w:ascii="Arial" w:hAnsi="Arial" w:cs="Arial"/>
                <w:sz w:val="24"/>
                <w:szCs w:val="24"/>
              </w:rPr>
            </w:pPr>
          </w:p>
          <w:p w14:paraId="69C91B4E" w14:textId="77777777" w:rsidR="00CE727F" w:rsidRDefault="00CE727F" w:rsidP="009B293D">
            <w:pPr>
              <w:ind w:left="-110" w:right="-69"/>
              <w:jc w:val="both"/>
              <w:rPr>
                <w:rFonts w:ascii="Arial" w:hAnsi="Arial" w:cs="Arial"/>
                <w:sz w:val="24"/>
                <w:szCs w:val="24"/>
              </w:rPr>
            </w:pPr>
          </w:p>
          <w:p w14:paraId="28BAE60B" w14:textId="77777777" w:rsidR="00CE727F" w:rsidRDefault="00CE727F" w:rsidP="009B293D">
            <w:pPr>
              <w:ind w:left="-110" w:right="-69"/>
              <w:jc w:val="both"/>
              <w:rPr>
                <w:rFonts w:ascii="Arial" w:hAnsi="Arial" w:cs="Arial"/>
                <w:sz w:val="24"/>
                <w:szCs w:val="24"/>
              </w:rPr>
            </w:pPr>
          </w:p>
          <w:p w14:paraId="5C541B17" w14:textId="77777777" w:rsidR="00CE727F" w:rsidRDefault="00CE727F" w:rsidP="009B293D">
            <w:pPr>
              <w:ind w:left="-110" w:right="-69"/>
              <w:jc w:val="both"/>
              <w:rPr>
                <w:rFonts w:ascii="Arial" w:hAnsi="Arial" w:cs="Arial"/>
                <w:sz w:val="24"/>
                <w:szCs w:val="24"/>
              </w:rPr>
            </w:pPr>
          </w:p>
          <w:p w14:paraId="7C6F8284" w14:textId="77777777" w:rsidR="00CE727F" w:rsidRDefault="00CE727F" w:rsidP="009B293D">
            <w:pPr>
              <w:ind w:left="-110" w:right="-69"/>
              <w:jc w:val="both"/>
              <w:rPr>
                <w:rFonts w:ascii="Arial" w:hAnsi="Arial" w:cs="Arial"/>
                <w:sz w:val="24"/>
                <w:szCs w:val="24"/>
              </w:rPr>
            </w:pPr>
          </w:p>
          <w:p w14:paraId="03C7093B" w14:textId="77777777" w:rsidR="00CE727F" w:rsidRDefault="00CE727F" w:rsidP="009B293D">
            <w:pPr>
              <w:ind w:left="-110" w:right="-69"/>
              <w:jc w:val="both"/>
              <w:rPr>
                <w:rFonts w:ascii="Arial" w:hAnsi="Arial" w:cs="Arial"/>
                <w:sz w:val="24"/>
                <w:szCs w:val="24"/>
              </w:rPr>
            </w:pPr>
          </w:p>
          <w:p w14:paraId="332F4893" w14:textId="77777777" w:rsidR="00CE727F" w:rsidRDefault="00CE727F" w:rsidP="009B293D">
            <w:pPr>
              <w:ind w:left="-110" w:right="-69"/>
              <w:jc w:val="both"/>
              <w:rPr>
                <w:rFonts w:ascii="Arial" w:hAnsi="Arial" w:cs="Arial"/>
                <w:sz w:val="24"/>
                <w:szCs w:val="24"/>
              </w:rPr>
            </w:pPr>
          </w:p>
          <w:p w14:paraId="52A0D169" w14:textId="77777777" w:rsidR="00CE727F" w:rsidRDefault="00CE727F" w:rsidP="009B293D">
            <w:pPr>
              <w:ind w:left="-110" w:right="-69"/>
              <w:jc w:val="both"/>
              <w:rPr>
                <w:rFonts w:ascii="Arial" w:hAnsi="Arial" w:cs="Arial"/>
                <w:sz w:val="24"/>
                <w:szCs w:val="24"/>
              </w:rPr>
            </w:pPr>
          </w:p>
          <w:p w14:paraId="5CDDCFC9" w14:textId="77777777" w:rsidR="00CE727F" w:rsidRDefault="00CE727F" w:rsidP="009B293D">
            <w:pPr>
              <w:ind w:left="-110" w:right="-69"/>
              <w:jc w:val="both"/>
              <w:rPr>
                <w:rFonts w:ascii="Arial" w:hAnsi="Arial" w:cs="Arial"/>
                <w:sz w:val="24"/>
                <w:szCs w:val="24"/>
              </w:rPr>
            </w:pPr>
          </w:p>
          <w:p w14:paraId="6C5E382F" w14:textId="77777777" w:rsidR="00CE727F" w:rsidRDefault="00CE727F" w:rsidP="009B293D">
            <w:pPr>
              <w:ind w:left="-110" w:right="-69"/>
              <w:jc w:val="both"/>
              <w:rPr>
                <w:rFonts w:ascii="Arial" w:hAnsi="Arial" w:cs="Arial"/>
                <w:sz w:val="24"/>
                <w:szCs w:val="24"/>
              </w:rPr>
            </w:pPr>
          </w:p>
          <w:p w14:paraId="7828BE00" w14:textId="77777777" w:rsidR="00CE727F" w:rsidRDefault="00CE727F" w:rsidP="009B293D">
            <w:pPr>
              <w:ind w:left="-110" w:right="-69"/>
              <w:jc w:val="both"/>
              <w:rPr>
                <w:rFonts w:ascii="Arial" w:hAnsi="Arial" w:cs="Arial"/>
                <w:sz w:val="24"/>
                <w:szCs w:val="24"/>
              </w:rPr>
            </w:pPr>
          </w:p>
          <w:p w14:paraId="5BC2D23B" w14:textId="77777777" w:rsidR="00CE727F" w:rsidRDefault="00CE727F" w:rsidP="009B293D">
            <w:pPr>
              <w:ind w:left="-110" w:right="-69"/>
              <w:jc w:val="both"/>
              <w:rPr>
                <w:rFonts w:ascii="Arial" w:hAnsi="Arial" w:cs="Arial"/>
                <w:sz w:val="24"/>
                <w:szCs w:val="24"/>
              </w:rPr>
            </w:pPr>
          </w:p>
          <w:p w14:paraId="2F885093" w14:textId="77777777" w:rsidR="00CE727F" w:rsidRDefault="00CE727F" w:rsidP="009B293D">
            <w:pPr>
              <w:ind w:left="-110" w:right="-69"/>
              <w:jc w:val="both"/>
              <w:rPr>
                <w:rFonts w:ascii="Arial" w:hAnsi="Arial" w:cs="Arial"/>
                <w:sz w:val="24"/>
                <w:szCs w:val="24"/>
              </w:rPr>
            </w:pPr>
          </w:p>
          <w:p w14:paraId="201E1466" w14:textId="77777777" w:rsidR="00CE727F" w:rsidRDefault="00CE727F" w:rsidP="009B293D">
            <w:pPr>
              <w:ind w:left="-110" w:right="-69"/>
              <w:jc w:val="both"/>
              <w:rPr>
                <w:rFonts w:ascii="Arial" w:hAnsi="Arial" w:cs="Arial"/>
                <w:sz w:val="24"/>
                <w:szCs w:val="24"/>
              </w:rPr>
            </w:pPr>
          </w:p>
          <w:p w14:paraId="5B95E878" w14:textId="77777777" w:rsidR="00CE727F" w:rsidRDefault="00CE727F" w:rsidP="009B293D">
            <w:pPr>
              <w:ind w:left="-110" w:right="-69"/>
              <w:jc w:val="both"/>
              <w:rPr>
                <w:rFonts w:ascii="Arial" w:hAnsi="Arial" w:cs="Arial"/>
                <w:sz w:val="24"/>
                <w:szCs w:val="24"/>
              </w:rPr>
            </w:pPr>
          </w:p>
          <w:p w14:paraId="2E0291E0" w14:textId="77777777" w:rsidR="00CE727F" w:rsidRDefault="00CE727F" w:rsidP="009B293D">
            <w:pPr>
              <w:ind w:left="-110" w:right="-69"/>
              <w:jc w:val="both"/>
              <w:rPr>
                <w:rFonts w:ascii="Arial" w:hAnsi="Arial" w:cs="Arial"/>
                <w:sz w:val="24"/>
                <w:szCs w:val="24"/>
              </w:rPr>
            </w:pPr>
          </w:p>
          <w:p w14:paraId="6D2046E3" w14:textId="77777777" w:rsidR="00CE727F" w:rsidRDefault="00CE727F" w:rsidP="009B293D">
            <w:pPr>
              <w:ind w:left="-110" w:right="-69"/>
              <w:jc w:val="both"/>
              <w:rPr>
                <w:rFonts w:ascii="Arial" w:hAnsi="Arial" w:cs="Arial"/>
                <w:sz w:val="24"/>
                <w:szCs w:val="24"/>
              </w:rPr>
            </w:pPr>
          </w:p>
          <w:p w14:paraId="01670CA4" w14:textId="77777777" w:rsidR="00CE727F" w:rsidRDefault="00CE727F" w:rsidP="009B293D">
            <w:pPr>
              <w:ind w:left="-110" w:right="-69"/>
              <w:jc w:val="both"/>
              <w:rPr>
                <w:rFonts w:ascii="Arial" w:hAnsi="Arial" w:cs="Arial"/>
                <w:sz w:val="24"/>
                <w:szCs w:val="24"/>
              </w:rPr>
            </w:pPr>
          </w:p>
          <w:p w14:paraId="5E59AE58" w14:textId="77777777" w:rsidR="00CE727F" w:rsidRDefault="00CE727F" w:rsidP="009B293D">
            <w:pPr>
              <w:ind w:left="-110" w:right="-69"/>
              <w:jc w:val="both"/>
              <w:rPr>
                <w:rFonts w:ascii="Arial" w:hAnsi="Arial" w:cs="Arial"/>
                <w:sz w:val="24"/>
                <w:szCs w:val="24"/>
              </w:rPr>
            </w:pPr>
          </w:p>
          <w:p w14:paraId="619A7A87" w14:textId="77777777" w:rsidR="00CE727F" w:rsidRDefault="00CE727F" w:rsidP="009B293D">
            <w:pPr>
              <w:ind w:left="-110" w:right="-69"/>
              <w:jc w:val="both"/>
              <w:rPr>
                <w:rFonts w:ascii="Arial" w:hAnsi="Arial" w:cs="Arial"/>
                <w:sz w:val="24"/>
                <w:szCs w:val="24"/>
              </w:rPr>
            </w:pPr>
          </w:p>
          <w:p w14:paraId="682564A9" w14:textId="77777777" w:rsidR="00CE727F" w:rsidRDefault="00CE727F" w:rsidP="009B293D">
            <w:pPr>
              <w:ind w:left="-110" w:right="-69"/>
              <w:jc w:val="both"/>
              <w:rPr>
                <w:rFonts w:ascii="Arial" w:hAnsi="Arial" w:cs="Arial"/>
                <w:sz w:val="24"/>
                <w:szCs w:val="24"/>
              </w:rPr>
            </w:pPr>
          </w:p>
          <w:p w14:paraId="73A1C5DF" w14:textId="77777777" w:rsidR="00CE727F" w:rsidRDefault="00CE727F" w:rsidP="009B293D">
            <w:pPr>
              <w:ind w:left="-110" w:right="-69"/>
              <w:jc w:val="both"/>
              <w:rPr>
                <w:rFonts w:ascii="Arial" w:hAnsi="Arial" w:cs="Arial"/>
                <w:sz w:val="24"/>
                <w:szCs w:val="24"/>
              </w:rPr>
            </w:pPr>
          </w:p>
          <w:p w14:paraId="7A577811" w14:textId="77777777" w:rsidR="00CE727F" w:rsidRDefault="00CE727F" w:rsidP="009B293D">
            <w:pPr>
              <w:ind w:left="-110" w:right="-69"/>
              <w:jc w:val="both"/>
              <w:rPr>
                <w:rFonts w:ascii="Arial" w:hAnsi="Arial" w:cs="Arial"/>
                <w:sz w:val="24"/>
                <w:szCs w:val="24"/>
              </w:rPr>
            </w:pPr>
          </w:p>
          <w:p w14:paraId="5D2ECE20" w14:textId="77777777" w:rsidR="00CE727F" w:rsidRDefault="00CE727F" w:rsidP="009B293D">
            <w:pPr>
              <w:ind w:left="-110" w:right="-69"/>
              <w:jc w:val="both"/>
              <w:rPr>
                <w:rFonts w:ascii="Arial" w:hAnsi="Arial" w:cs="Arial"/>
                <w:sz w:val="24"/>
                <w:szCs w:val="24"/>
              </w:rPr>
            </w:pPr>
          </w:p>
          <w:p w14:paraId="6CFF4027" w14:textId="77777777" w:rsidR="00CE727F" w:rsidRDefault="00CE727F" w:rsidP="009B293D">
            <w:pPr>
              <w:ind w:left="-110" w:right="-69"/>
              <w:jc w:val="both"/>
              <w:rPr>
                <w:rFonts w:ascii="Arial" w:hAnsi="Arial" w:cs="Arial"/>
                <w:sz w:val="24"/>
                <w:szCs w:val="24"/>
              </w:rPr>
            </w:pPr>
          </w:p>
          <w:p w14:paraId="381E35FE" w14:textId="77777777" w:rsidR="00CE727F" w:rsidRDefault="00CE727F" w:rsidP="009B293D">
            <w:pPr>
              <w:ind w:left="-110" w:right="-69"/>
              <w:jc w:val="both"/>
              <w:rPr>
                <w:rFonts w:ascii="Arial" w:hAnsi="Arial" w:cs="Arial"/>
                <w:sz w:val="24"/>
                <w:szCs w:val="24"/>
              </w:rPr>
            </w:pPr>
          </w:p>
          <w:p w14:paraId="56AB41DA" w14:textId="066A46A2" w:rsidR="00FC6C3B" w:rsidRPr="00507F19" w:rsidRDefault="00FC6C3B" w:rsidP="002D0D6D">
            <w:pPr>
              <w:ind w:right="-69"/>
              <w:jc w:val="both"/>
              <w:rPr>
                <w:rFonts w:ascii="Arial" w:hAnsi="Arial" w:cs="Arial"/>
                <w:color w:val="000000" w:themeColor="text1"/>
                <w:sz w:val="24"/>
                <w:szCs w:val="24"/>
                <w:highlight w:val="yellow"/>
              </w:rPr>
            </w:pPr>
          </w:p>
        </w:tc>
      </w:tr>
    </w:tbl>
    <w:p w14:paraId="068A0CA7" w14:textId="30656967" w:rsidR="00CE727F" w:rsidRPr="00CE727F" w:rsidRDefault="002D0D6D" w:rsidP="00CE727F">
      <w:pPr>
        <w:spacing w:after="0" w:line="240" w:lineRule="auto"/>
        <w:rPr>
          <w:rFonts w:ascii="Arial" w:eastAsia="MS Mincho" w:hAnsi="Arial" w:cs="Arial"/>
          <w:b/>
          <w:sz w:val="24"/>
          <w:szCs w:val="28"/>
        </w:rPr>
      </w:pPr>
      <w:r>
        <w:rPr>
          <w:rFonts w:ascii="Arial" w:eastAsia="MS Mincho" w:hAnsi="Arial" w:cs="Arial"/>
          <w:b/>
          <w:sz w:val="24"/>
          <w:szCs w:val="28"/>
        </w:rPr>
        <w:lastRenderedPageBreak/>
        <w:t>R</w:t>
      </w:r>
      <w:r w:rsidR="00CE727F" w:rsidRPr="00CE727F">
        <w:rPr>
          <w:rFonts w:ascii="Arial" w:eastAsia="MS Mincho" w:hAnsi="Arial" w:cs="Arial"/>
          <w:b/>
          <w:sz w:val="24"/>
          <w:szCs w:val="28"/>
        </w:rPr>
        <w:t>eviewing our continued approach to quality assuring Higher and Degree Apprenticeships</w:t>
      </w:r>
    </w:p>
    <w:p w14:paraId="79141ED5" w14:textId="77777777" w:rsidR="00CE727F" w:rsidRPr="00CE727F" w:rsidRDefault="00CE727F" w:rsidP="00CE727F">
      <w:pPr>
        <w:spacing w:after="0" w:line="240" w:lineRule="auto"/>
        <w:rPr>
          <w:rFonts w:ascii="Arial" w:eastAsia="MS Mincho" w:hAnsi="Arial" w:cs="Arial"/>
          <w:b/>
          <w:sz w:val="24"/>
          <w:szCs w:val="24"/>
        </w:rPr>
      </w:pPr>
    </w:p>
    <w:p w14:paraId="13EFCC1D" w14:textId="53C8D083" w:rsidR="00CE727F" w:rsidRPr="00CE727F" w:rsidRDefault="00CE727F" w:rsidP="00CE727F">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This report follows those which looked at the 2017-18 and 2018-19 academic years. Previous reports, particularly the 2017-18 report which considered ou</w:t>
      </w:r>
      <w:r w:rsidR="00802533">
        <w:rPr>
          <w:rFonts w:ascii="Arial" w:eastAsia="MS Mincho" w:hAnsi="Arial" w:cs="Arial"/>
          <w:sz w:val="24"/>
          <w:szCs w:val="24"/>
        </w:rPr>
        <w:t>r</w:t>
      </w:r>
      <w:r w:rsidRPr="00CE727F">
        <w:rPr>
          <w:rFonts w:ascii="Arial" w:eastAsia="MS Mincho" w:hAnsi="Arial" w:cs="Arial"/>
          <w:sz w:val="24"/>
          <w:szCs w:val="24"/>
        </w:rPr>
        <w:t xml:space="preserve"> first year of assessing degree apprenticeship programmes, emphasised the need to be flexible and take a case-based approach to our assessment methods. </w:t>
      </w:r>
    </w:p>
    <w:p w14:paraId="71763C64"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704199FA" w14:textId="77777777" w:rsidR="00106729" w:rsidRDefault="00CE727F" w:rsidP="00F3026D">
      <w:pPr>
        <w:pStyle w:val="ListParagraph"/>
        <w:numPr>
          <w:ilvl w:val="0"/>
          <w:numId w:val="18"/>
        </w:numPr>
        <w:rPr>
          <w:rFonts w:ascii="Arial" w:eastAsia="MS Mincho" w:hAnsi="Arial" w:cs="Arial"/>
          <w:sz w:val="24"/>
          <w:szCs w:val="24"/>
        </w:rPr>
      </w:pPr>
      <w:r w:rsidRPr="00EC70B2">
        <w:rPr>
          <w:rFonts w:ascii="Arial" w:eastAsia="MS Mincho" w:hAnsi="Arial" w:cs="Arial"/>
          <w:sz w:val="24"/>
          <w:szCs w:val="24"/>
        </w:rPr>
        <w:t xml:space="preserve">When informed of degree apprenticeship proposals, we made individual decisions based on factors such as whether and to what extent the proposed degree apprenticeship would differ from any existing </w:t>
      </w:r>
      <w:r w:rsidR="00802533" w:rsidRPr="00EC70B2">
        <w:rPr>
          <w:rFonts w:ascii="Arial" w:eastAsia="MS Mincho" w:hAnsi="Arial" w:cs="Arial"/>
          <w:sz w:val="24"/>
          <w:szCs w:val="24"/>
        </w:rPr>
        <w:t xml:space="preserve">approved </w:t>
      </w:r>
      <w:r w:rsidR="00106729">
        <w:rPr>
          <w:rFonts w:ascii="Arial" w:eastAsia="MS Mincho" w:hAnsi="Arial" w:cs="Arial"/>
          <w:sz w:val="24"/>
          <w:szCs w:val="24"/>
        </w:rPr>
        <w:t>programme</w:t>
      </w:r>
      <w:r w:rsidRPr="00EC70B2">
        <w:rPr>
          <w:rFonts w:ascii="Arial" w:eastAsia="MS Mincho" w:hAnsi="Arial" w:cs="Arial"/>
          <w:sz w:val="24"/>
          <w:szCs w:val="24"/>
        </w:rPr>
        <w:t>.</w:t>
      </w:r>
      <w:r w:rsidR="00EC70B2">
        <w:rPr>
          <w:rFonts w:ascii="Arial" w:eastAsia="MS Mincho" w:hAnsi="Arial" w:cs="Arial"/>
          <w:sz w:val="24"/>
          <w:szCs w:val="24"/>
        </w:rPr>
        <w:t xml:space="preserve"> </w:t>
      </w:r>
    </w:p>
    <w:p w14:paraId="61B1AA70" w14:textId="77777777" w:rsidR="00106729" w:rsidRPr="00106729" w:rsidRDefault="00106729" w:rsidP="00106729">
      <w:pPr>
        <w:pStyle w:val="ListParagraph"/>
        <w:rPr>
          <w:rFonts w:ascii="Arial" w:eastAsia="MS Mincho" w:hAnsi="Arial" w:cs="Arial"/>
          <w:sz w:val="24"/>
          <w:szCs w:val="24"/>
        </w:rPr>
      </w:pPr>
    </w:p>
    <w:p w14:paraId="5FF7A995" w14:textId="5EBC1369" w:rsidR="00CE727F" w:rsidRPr="00F3026D" w:rsidRDefault="00EC70B2" w:rsidP="00F3026D">
      <w:pPr>
        <w:pStyle w:val="ListParagraph"/>
        <w:numPr>
          <w:ilvl w:val="0"/>
          <w:numId w:val="18"/>
        </w:numPr>
        <w:rPr>
          <w:rFonts w:ascii="Arial" w:eastAsia="MS Mincho" w:hAnsi="Arial" w:cs="Arial"/>
          <w:sz w:val="24"/>
          <w:szCs w:val="24"/>
        </w:rPr>
      </w:pPr>
      <w:r>
        <w:rPr>
          <w:rFonts w:ascii="Arial" w:eastAsia="MS Mincho" w:hAnsi="Arial" w:cs="Arial"/>
          <w:sz w:val="24"/>
          <w:szCs w:val="24"/>
        </w:rPr>
        <w:t>In deciding how to review individual apprenticeships the Executive considered that the integrity and effectiveness of our processes could be maintained while avoiding unnecessary regulatory burden on our education provider partners, and disproportionate costs on the HCPC itself.</w:t>
      </w:r>
      <w:r w:rsidR="00CE727F" w:rsidRPr="00EC70B2">
        <w:rPr>
          <w:rFonts w:ascii="Arial" w:eastAsia="MS Mincho" w:hAnsi="Arial" w:cs="Arial"/>
          <w:sz w:val="24"/>
          <w:szCs w:val="24"/>
        </w:rPr>
        <w:t xml:space="preserve"> </w:t>
      </w:r>
    </w:p>
    <w:p w14:paraId="3B31B0A4"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7C52528D" w14:textId="139BD6D9" w:rsidR="00CE727F" w:rsidRPr="00CE727F" w:rsidRDefault="00CE727F" w:rsidP="00CE727F">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The normal </w:t>
      </w:r>
      <w:r w:rsidR="00802533">
        <w:rPr>
          <w:rFonts w:ascii="Arial" w:eastAsia="MS Mincho" w:hAnsi="Arial" w:cs="Arial"/>
          <w:sz w:val="24"/>
          <w:szCs w:val="24"/>
        </w:rPr>
        <w:t xml:space="preserve">approval </w:t>
      </w:r>
      <w:r w:rsidRPr="00CE727F">
        <w:rPr>
          <w:rFonts w:ascii="Arial" w:eastAsia="MS Mincho" w:hAnsi="Arial" w:cs="Arial"/>
          <w:sz w:val="24"/>
          <w:szCs w:val="24"/>
        </w:rPr>
        <w:t xml:space="preserve">process was used where an education provider had developed an apprenticeship programme from scratch, i.e. if they did not have an existing approved programme in the relevant profession. The normal process involved a six month lead-in as well as the standard post-visit process which normally takes around three months. In these situations the normal stipulations apply about approval needing to be in place before </w:t>
      </w:r>
      <w:r w:rsidR="00106729">
        <w:rPr>
          <w:rFonts w:ascii="Arial" w:eastAsia="MS Mincho" w:hAnsi="Arial" w:cs="Arial"/>
          <w:sz w:val="24"/>
          <w:szCs w:val="24"/>
        </w:rPr>
        <w:t>applicants</w:t>
      </w:r>
      <w:r w:rsidRPr="00CE727F">
        <w:rPr>
          <w:rFonts w:ascii="Arial" w:eastAsia="MS Mincho" w:hAnsi="Arial" w:cs="Arial"/>
          <w:sz w:val="24"/>
          <w:szCs w:val="24"/>
        </w:rPr>
        <w:t xml:space="preserve"> can enrol in the programme.</w:t>
      </w:r>
      <w:r w:rsidR="008F0B8A">
        <w:rPr>
          <w:rFonts w:ascii="Arial" w:eastAsia="MS Mincho" w:hAnsi="Arial" w:cs="Arial"/>
          <w:sz w:val="24"/>
          <w:szCs w:val="24"/>
        </w:rPr>
        <w:t xml:space="preserve"> We would use the major change process if the proposed apprenticeship was closely modelled on an existing programme and had few significant differences from the</w:t>
      </w:r>
      <w:r w:rsidR="00106729">
        <w:rPr>
          <w:rFonts w:ascii="Arial" w:eastAsia="MS Mincho" w:hAnsi="Arial" w:cs="Arial"/>
          <w:sz w:val="24"/>
          <w:szCs w:val="24"/>
        </w:rPr>
        <w:t xml:space="preserve"> approved</w:t>
      </w:r>
      <w:r w:rsidR="008F0B8A">
        <w:rPr>
          <w:rFonts w:ascii="Arial" w:eastAsia="MS Mincho" w:hAnsi="Arial" w:cs="Arial"/>
          <w:sz w:val="24"/>
          <w:szCs w:val="24"/>
        </w:rPr>
        <w:t xml:space="preserve"> programme, allowing for the different structural requirements of apprenticeships.</w:t>
      </w:r>
    </w:p>
    <w:p w14:paraId="7D35D64B"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156AEAD1" w14:textId="47C4AFC9" w:rsidR="00CE727F" w:rsidRDefault="00CE727F" w:rsidP="00CE727F">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There was a noticeable reduction during the 2019-20 academic year in requests to approve apprenticeships through the major change process (18) and through the approvals process (8). For 2018-19 the equivalent figures were 32 and 29</w:t>
      </w:r>
      <w:r w:rsidR="00802533">
        <w:rPr>
          <w:rFonts w:ascii="Arial" w:eastAsia="MS Mincho" w:hAnsi="Arial" w:cs="Arial"/>
          <w:sz w:val="24"/>
          <w:szCs w:val="24"/>
        </w:rPr>
        <w:t xml:space="preserve"> respectively</w:t>
      </w:r>
      <w:r w:rsidRPr="00CE727F">
        <w:rPr>
          <w:rFonts w:ascii="Arial" w:eastAsia="MS Mincho" w:hAnsi="Arial" w:cs="Arial"/>
          <w:sz w:val="24"/>
          <w:szCs w:val="24"/>
        </w:rPr>
        <w:t xml:space="preserve">. The reason for this may be that apprenticeships are now an established part of the landscape and so some of the initial high take-up has declined. Many of the institutions which </w:t>
      </w:r>
      <w:r w:rsidR="00106729">
        <w:rPr>
          <w:rFonts w:ascii="Arial" w:eastAsia="MS Mincho" w:hAnsi="Arial" w:cs="Arial"/>
          <w:sz w:val="24"/>
          <w:szCs w:val="24"/>
        </w:rPr>
        <w:t>were</w:t>
      </w:r>
      <w:r w:rsidRPr="00CE727F">
        <w:rPr>
          <w:rFonts w:ascii="Arial" w:eastAsia="MS Mincho" w:hAnsi="Arial" w:cs="Arial"/>
          <w:sz w:val="24"/>
          <w:szCs w:val="24"/>
        </w:rPr>
        <w:t xml:space="preserve"> going to launch apprenticeships have done so already.  </w:t>
      </w:r>
    </w:p>
    <w:p w14:paraId="2A3E3A5E" w14:textId="77777777" w:rsidR="007B0803" w:rsidRDefault="007B0803" w:rsidP="00F3026D">
      <w:pPr>
        <w:pStyle w:val="ListParagraph"/>
        <w:rPr>
          <w:rFonts w:ascii="Arial" w:eastAsia="MS Mincho" w:hAnsi="Arial" w:cs="Arial"/>
          <w:sz w:val="24"/>
          <w:szCs w:val="24"/>
        </w:rPr>
      </w:pPr>
    </w:p>
    <w:p w14:paraId="485E636B" w14:textId="24D6786C" w:rsidR="007B0803" w:rsidRPr="00CE727F" w:rsidRDefault="007B0803" w:rsidP="00F3026D">
      <w:pPr>
        <w:spacing w:after="0" w:line="240" w:lineRule="auto"/>
        <w:contextualSpacing/>
        <w:jc w:val="center"/>
        <w:rPr>
          <w:rFonts w:ascii="Arial" w:eastAsia="MS Mincho" w:hAnsi="Arial" w:cs="Arial"/>
          <w:sz w:val="24"/>
          <w:szCs w:val="24"/>
        </w:rPr>
      </w:pPr>
      <w:r>
        <w:rPr>
          <w:noProof/>
          <w:lang w:eastAsia="en-GB"/>
        </w:rPr>
        <w:lastRenderedPageBreak/>
        <w:drawing>
          <wp:inline distT="0" distB="0" distL="0" distR="0" wp14:anchorId="52D69635" wp14:editId="6B8F11A5">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BF193C" w14:textId="77777777" w:rsidR="00CE727F" w:rsidRPr="00CE727F" w:rsidRDefault="00CE727F" w:rsidP="00CE727F">
      <w:pPr>
        <w:spacing w:after="0" w:line="240" w:lineRule="auto"/>
        <w:rPr>
          <w:rFonts w:ascii="Arial" w:eastAsia="MS Mincho" w:hAnsi="Arial" w:cs="Arial"/>
          <w:sz w:val="24"/>
          <w:szCs w:val="24"/>
        </w:rPr>
      </w:pPr>
    </w:p>
    <w:p w14:paraId="5B37ED4F" w14:textId="5FE64646" w:rsidR="00CE727F" w:rsidRPr="00CE727F" w:rsidRDefault="00CE727F" w:rsidP="00CE727F">
      <w:pPr>
        <w:spacing w:after="0" w:line="240" w:lineRule="auto"/>
        <w:jc w:val="center"/>
        <w:rPr>
          <w:rFonts w:ascii="Arial" w:eastAsia="MS Mincho" w:hAnsi="Arial" w:cs="Arial"/>
          <w:sz w:val="24"/>
          <w:szCs w:val="24"/>
        </w:rPr>
      </w:pPr>
    </w:p>
    <w:p w14:paraId="2CF7558F" w14:textId="4692584F" w:rsidR="00CE727F" w:rsidRDefault="00CE727F" w:rsidP="00F3026D">
      <w:pPr>
        <w:numPr>
          <w:ilvl w:val="0"/>
          <w:numId w:val="18"/>
        </w:numPr>
        <w:spacing w:after="0" w:line="240" w:lineRule="auto"/>
        <w:contextualSpacing/>
        <w:rPr>
          <w:rFonts w:ascii="Arial" w:eastAsia="MS Mincho" w:hAnsi="Arial" w:cs="Arial"/>
          <w:sz w:val="24"/>
          <w:szCs w:val="24"/>
        </w:rPr>
      </w:pPr>
      <w:r w:rsidRPr="00F3026D">
        <w:rPr>
          <w:rFonts w:ascii="Arial" w:eastAsia="MS Mincho" w:hAnsi="Arial" w:cs="Arial"/>
          <w:sz w:val="24"/>
          <w:szCs w:val="24"/>
        </w:rPr>
        <w:t>Additionally, during the 2019-20 academic year</w:t>
      </w:r>
      <w:r w:rsidR="00802533" w:rsidRPr="00F3026D">
        <w:rPr>
          <w:rFonts w:ascii="Arial" w:eastAsia="MS Mincho" w:hAnsi="Arial" w:cs="Arial"/>
          <w:sz w:val="24"/>
          <w:szCs w:val="24"/>
        </w:rPr>
        <w:t>,</w:t>
      </w:r>
      <w:r w:rsidRPr="00F3026D">
        <w:rPr>
          <w:rFonts w:ascii="Arial" w:eastAsia="MS Mincho" w:hAnsi="Arial" w:cs="Arial"/>
          <w:sz w:val="24"/>
          <w:szCs w:val="24"/>
        </w:rPr>
        <w:t xml:space="preserve"> the HCPC ceased to be the statutory regulator for </w:t>
      </w:r>
      <w:r w:rsidR="00802533" w:rsidRPr="00F3026D">
        <w:rPr>
          <w:rFonts w:ascii="Arial" w:eastAsia="MS Mincho" w:hAnsi="Arial" w:cs="Arial"/>
          <w:sz w:val="24"/>
          <w:szCs w:val="24"/>
        </w:rPr>
        <w:t>S</w:t>
      </w:r>
      <w:r w:rsidRPr="00F3026D">
        <w:rPr>
          <w:rFonts w:ascii="Arial" w:eastAsia="MS Mincho" w:hAnsi="Arial" w:cs="Arial"/>
          <w:sz w:val="24"/>
          <w:szCs w:val="24"/>
        </w:rPr>
        <w:t xml:space="preserve">ocial workers in England. Social work degree apprenticeships had formed a large part of the apprenticeship work during the previous two academic years. In 2017-18, 15 out of 26 requests to approve apprenticeships were for social work programmes (58 per cent), and in 2018-19, the equivalent figure was 30 out of 53 (57 per cent). This may explain the reduction noted above. However, other professions regulated by the HCPC have been pushing forward apprenticeships. </w:t>
      </w:r>
      <w:r w:rsidR="00E36A50">
        <w:rPr>
          <w:rFonts w:ascii="Arial" w:eastAsia="MS Mincho" w:hAnsi="Arial" w:cs="Arial"/>
          <w:sz w:val="24"/>
          <w:szCs w:val="24"/>
        </w:rPr>
        <w:br/>
      </w:r>
    </w:p>
    <w:p w14:paraId="29E2F543" w14:textId="77777777" w:rsidR="00E36A50" w:rsidRPr="00E36A50" w:rsidRDefault="00E36A50" w:rsidP="00E36A50">
      <w:pPr>
        <w:pStyle w:val="ListParagraph"/>
        <w:ind w:left="786"/>
        <w:rPr>
          <w:rFonts w:ascii="Arial" w:eastAsia="MS Mincho" w:hAnsi="Arial" w:cs="Arial"/>
          <w:b/>
          <w:sz w:val="24"/>
          <w:szCs w:val="24"/>
        </w:rPr>
      </w:pPr>
      <w:r w:rsidRPr="00E36A50">
        <w:rPr>
          <w:rFonts w:ascii="Arial" w:eastAsia="MS Mincho" w:hAnsi="Arial" w:cs="Arial"/>
          <w:b/>
          <w:sz w:val="24"/>
          <w:szCs w:val="24"/>
        </w:rPr>
        <w:t xml:space="preserve">Major change </w:t>
      </w:r>
    </w:p>
    <w:p w14:paraId="77529F2B" w14:textId="77777777" w:rsidR="00E36A50" w:rsidRDefault="00E36A50" w:rsidP="00E36A50">
      <w:pPr>
        <w:spacing w:after="0" w:line="240" w:lineRule="auto"/>
        <w:ind w:left="426"/>
        <w:contextualSpacing/>
        <w:rPr>
          <w:rFonts w:ascii="Arial" w:eastAsia="MS Mincho" w:hAnsi="Arial" w:cs="Arial"/>
          <w:sz w:val="24"/>
          <w:szCs w:val="24"/>
        </w:rPr>
      </w:pPr>
    </w:p>
    <w:p w14:paraId="6DC7FDC3" w14:textId="08BFA548" w:rsidR="00E36A50" w:rsidRPr="00F34EE9" w:rsidRDefault="00E36A50" w:rsidP="00CE727F">
      <w:pPr>
        <w:numPr>
          <w:ilvl w:val="0"/>
          <w:numId w:val="18"/>
        </w:numPr>
        <w:spacing w:after="0" w:line="240" w:lineRule="auto"/>
        <w:contextualSpacing/>
        <w:rPr>
          <w:rFonts w:ascii="Arial" w:eastAsia="MS Mincho" w:hAnsi="Arial" w:cs="Arial"/>
          <w:sz w:val="24"/>
          <w:szCs w:val="24"/>
        </w:rPr>
      </w:pPr>
      <w:r>
        <w:rPr>
          <w:rFonts w:ascii="Arial" w:eastAsia="MS Mincho" w:hAnsi="Arial" w:cs="Arial"/>
          <w:sz w:val="24"/>
          <w:szCs w:val="24"/>
        </w:rPr>
        <w:t>The table below summarises the data and outcomes associated with the submitted major changes for degree apprenticeship programme</w:t>
      </w:r>
      <w:r w:rsidR="00F34EE9">
        <w:rPr>
          <w:rFonts w:ascii="Arial" w:eastAsia="MS Mincho" w:hAnsi="Arial" w:cs="Arial"/>
          <w:sz w:val="24"/>
          <w:szCs w:val="24"/>
        </w:rPr>
        <w:t>s in the last year.</w:t>
      </w:r>
      <w:r w:rsidR="00F34EE9">
        <w:rPr>
          <w:rFonts w:ascii="Arial" w:eastAsia="MS Mincho" w:hAnsi="Arial" w:cs="Arial"/>
          <w:sz w:val="24"/>
          <w:szCs w:val="24"/>
        </w:rPr>
        <w:br/>
      </w:r>
    </w:p>
    <w:p w14:paraId="042E16C9" w14:textId="77777777" w:rsidR="00E36A50" w:rsidRPr="00984A5D" w:rsidRDefault="00E36A50" w:rsidP="00E36A50">
      <w:pPr>
        <w:spacing w:after="0" w:line="240" w:lineRule="auto"/>
        <w:contextualSpacing/>
        <w:rPr>
          <w:rFonts w:ascii="Arial" w:eastAsia="MS Mincho" w:hAnsi="Arial" w:cs="Arial"/>
          <w:b/>
          <w:sz w:val="24"/>
          <w:szCs w:val="24"/>
        </w:rPr>
      </w:pPr>
      <w:r w:rsidRPr="00984A5D">
        <w:rPr>
          <w:rFonts w:ascii="Arial" w:eastAsia="MS Mincho" w:hAnsi="Arial" w:cs="Arial"/>
          <w:b/>
          <w:sz w:val="24"/>
          <w:szCs w:val="24"/>
        </w:rPr>
        <w:t>Table showing various data and outcomes in apprenticeship major changes</w:t>
      </w:r>
    </w:p>
    <w:p w14:paraId="772CE03A" w14:textId="77777777" w:rsidR="00E36A50" w:rsidRDefault="00E36A50" w:rsidP="00E36A50">
      <w:pPr>
        <w:spacing w:after="0" w:line="240" w:lineRule="auto"/>
        <w:rPr>
          <w:rFonts w:ascii="Arial" w:eastAsia="MS Mincho" w:hAnsi="Arial" w:cs="Arial"/>
          <w:sz w:val="24"/>
          <w:szCs w:val="24"/>
        </w:rPr>
      </w:pPr>
    </w:p>
    <w:tbl>
      <w:tblPr>
        <w:tblStyle w:val="TableGrid"/>
        <w:tblW w:w="0" w:type="auto"/>
        <w:tblInd w:w="137" w:type="dxa"/>
        <w:tblLook w:val="04A0" w:firstRow="1" w:lastRow="0" w:firstColumn="1" w:lastColumn="0" w:noHBand="0" w:noVBand="1"/>
      </w:tblPr>
      <w:tblGrid>
        <w:gridCol w:w="4832"/>
        <w:gridCol w:w="1123"/>
        <w:gridCol w:w="2924"/>
      </w:tblGrid>
      <w:tr w:rsidR="00E36A50" w14:paraId="1B1E4B06" w14:textId="77777777" w:rsidTr="00FC11DB">
        <w:tc>
          <w:tcPr>
            <w:tcW w:w="4832" w:type="dxa"/>
          </w:tcPr>
          <w:p w14:paraId="0FA30EA7" w14:textId="77777777" w:rsidR="00E36A50" w:rsidRPr="00591E91" w:rsidRDefault="00E36A50" w:rsidP="00FC11DB">
            <w:pPr>
              <w:contextualSpacing/>
              <w:rPr>
                <w:rFonts w:ascii="Arial" w:eastAsia="MS Mincho" w:hAnsi="Arial" w:cs="Arial"/>
                <w:b/>
                <w:sz w:val="24"/>
                <w:szCs w:val="24"/>
              </w:rPr>
            </w:pPr>
          </w:p>
        </w:tc>
        <w:tc>
          <w:tcPr>
            <w:tcW w:w="1123" w:type="dxa"/>
          </w:tcPr>
          <w:p w14:paraId="7D75E0A0" w14:textId="77777777" w:rsidR="00E36A50" w:rsidRPr="00591E91" w:rsidRDefault="00E36A50" w:rsidP="00FC11DB">
            <w:pPr>
              <w:contextualSpacing/>
              <w:rPr>
                <w:rFonts w:ascii="Arial" w:eastAsia="MS Mincho" w:hAnsi="Arial" w:cs="Arial"/>
                <w:b/>
                <w:sz w:val="24"/>
                <w:szCs w:val="24"/>
              </w:rPr>
            </w:pPr>
            <w:r w:rsidRPr="00591E91">
              <w:rPr>
                <w:rFonts w:ascii="Arial" w:eastAsia="MS Mincho" w:hAnsi="Arial" w:cs="Arial"/>
                <w:b/>
                <w:sz w:val="24"/>
                <w:szCs w:val="24"/>
              </w:rPr>
              <w:t xml:space="preserve">Number of cases </w:t>
            </w:r>
          </w:p>
        </w:tc>
        <w:tc>
          <w:tcPr>
            <w:tcW w:w="2924" w:type="dxa"/>
          </w:tcPr>
          <w:p w14:paraId="2E3750AA" w14:textId="77777777" w:rsidR="00E36A50" w:rsidRPr="00591E91" w:rsidRDefault="00E36A50" w:rsidP="00FC11DB">
            <w:pPr>
              <w:contextualSpacing/>
              <w:rPr>
                <w:rFonts w:ascii="Arial" w:eastAsia="MS Mincho" w:hAnsi="Arial" w:cs="Arial"/>
                <w:b/>
                <w:sz w:val="24"/>
                <w:szCs w:val="24"/>
              </w:rPr>
            </w:pPr>
            <w:r w:rsidRPr="00591E91">
              <w:rPr>
                <w:rFonts w:ascii="Arial" w:eastAsia="MS Mincho" w:hAnsi="Arial" w:cs="Arial"/>
                <w:b/>
                <w:sz w:val="24"/>
                <w:szCs w:val="24"/>
              </w:rPr>
              <w:t>Notes</w:t>
            </w:r>
          </w:p>
        </w:tc>
      </w:tr>
      <w:tr w:rsidR="00E36A50" w14:paraId="17EE822F" w14:textId="77777777" w:rsidTr="00646F0E">
        <w:tc>
          <w:tcPr>
            <w:tcW w:w="8879" w:type="dxa"/>
            <w:gridSpan w:val="3"/>
          </w:tcPr>
          <w:p w14:paraId="36528CC0" w14:textId="2C788B4F" w:rsidR="00E36A50" w:rsidRPr="00591E91" w:rsidRDefault="00E36A50" w:rsidP="00FC11DB">
            <w:pPr>
              <w:contextualSpacing/>
              <w:rPr>
                <w:rFonts w:ascii="Arial" w:eastAsia="MS Mincho" w:hAnsi="Arial" w:cs="Arial"/>
                <w:b/>
                <w:sz w:val="24"/>
                <w:szCs w:val="24"/>
              </w:rPr>
            </w:pPr>
            <w:r>
              <w:rPr>
                <w:rFonts w:ascii="Arial" w:eastAsia="MS Mincho" w:hAnsi="Arial" w:cs="Arial"/>
                <w:b/>
                <w:sz w:val="24"/>
                <w:szCs w:val="24"/>
              </w:rPr>
              <w:t>Initial submission and Executive review</w:t>
            </w:r>
          </w:p>
        </w:tc>
      </w:tr>
      <w:tr w:rsidR="00E36A50" w14:paraId="17C51C73" w14:textId="77777777" w:rsidTr="00FC11DB">
        <w:tc>
          <w:tcPr>
            <w:tcW w:w="4832" w:type="dxa"/>
          </w:tcPr>
          <w:p w14:paraId="7430E0AB"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Apprenticeship major change notification requests</w:t>
            </w:r>
            <w:r w:rsidRPr="00894366">
              <w:rPr>
                <w:rFonts w:ascii="Arial" w:eastAsia="MS Mincho" w:hAnsi="Arial" w:cs="Arial"/>
                <w:sz w:val="24"/>
                <w:szCs w:val="24"/>
              </w:rPr>
              <w:t xml:space="preserve"> received</w:t>
            </w:r>
          </w:p>
        </w:tc>
        <w:tc>
          <w:tcPr>
            <w:tcW w:w="1123" w:type="dxa"/>
          </w:tcPr>
          <w:p w14:paraId="122808DE"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 xml:space="preserve">18 </w:t>
            </w:r>
          </w:p>
        </w:tc>
        <w:tc>
          <w:tcPr>
            <w:tcW w:w="2924" w:type="dxa"/>
          </w:tcPr>
          <w:p w14:paraId="24E8F328" w14:textId="08461CB9" w:rsidR="00E36A50" w:rsidRDefault="00E36A50" w:rsidP="00FC11DB">
            <w:pPr>
              <w:contextualSpacing/>
              <w:rPr>
                <w:rFonts w:ascii="Arial" w:eastAsia="MS Mincho" w:hAnsi="Arial" w:cs="Arial"/>
                <w:sz w:val="24"/>
                <w:szCs w:val="24"/>
              </w:rPr>
            </w:pPr>
          </w:p>
        </w:tc>
      </w:tr>
      <w:tr w:rsidR="00E36A50" w14:paraId="58C714AE" w14:textId="77777777" w:rsidTr="00FC11DB">
        <w:tc>
          <w:tcPr>
            <w:tcW w:w="4832" w:type="dxa"/>
          </w:tcPr>
          <w:p w14:paraId="7FE13639" w14:textId="5A2ED7A7" w:rsidR="00E36A50" w:rsidRDefault="00E36A50" w:rsidP="00E36A50">
            <w:pPr>
              <w:contextualSpacing/>
              <w:rPr>
                <w:rFonts w:ascii="Arial" w:eastAsia="MS Mincho" w:hAnsi="Arial" w:cs="Arial"/>
                <w:sz w:val="24"/>
                <w:szCs w:val="24"/>
              </w:rPr>
            </w:pPr>
            <w:r w:rsidRPr="00894366">
              <w:rPr>
                <w:rFonts w:ascii="Arial" w:eastAsia="MS Mincho" w:hAnsi="Arial" w:cs="Arial"/>
                <w:sz w:val="24"/>
                <w:szCs w:val="24"/>
              </w:rPr>
              <w:t xml:space="preserve">Referred to approval directly from major change </w:t>
            </w:r>
            <w:r>
              <w:rPr>
                <w:rFonts w:ascii="Arial" w:eastAsia="MS Mincho" w:hAnsi="Arial" w:cs="Arial"/>
                <w:sz w:val="24"/>
                <w:szCs w:val="24"/>
              </w:rPr>
              <w:t xml:space="preserve">notification </w:t>
            </w:r>
            <w:r w:rsidRPr="00894366">
              <w:rPr>
                <w:rFonts w:ascii="Arial" w:eastAsia="MS Mincho" w:hAnsi="Arial" w:cs="Arial"/>
                <w:sz w:val="24"/>
                <w:szCs w:val="24"/>
              </w:rPr>
              <w:t>review</w:t>
            </w:r>
          </w:p>
        </w:tc>
        <w:tc>
          <w:tcPr>
            <w:tcW w:w="1123" w:type="dxa"/>
          </w:tcPr>
          <w:p w14:paraId="7DEA2FB9"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 xml:space="preserve">1 </w:t>
            </w:r>
          </w:p>
        </w:tc>
        <w:tc>
          <w:tcPr>
            <w:tcW w:w="2924" w:type="dxa"/>
          </w:tcPr>
          <w:p w14:paraId="1C35D8B3" w14:textId="77777777" w:rsidR="00E36A50" w:rsidRDefault="00E36A50" w:rsidP="00FC11DB">
            <w:pPr>
              <w:contextualSpacing/>
              <w:rPr>
                <w:rFonts w:ascii="Arial" w:eastAsia="MS Mincho" w:hAnsi="Arial" w:cs="Arial"/>
                <w:sz w:val="24"/>
                <w:szCs w:val="24"/>
              </w:rPr>
            </w:pPr>
          </w:p>
        </w:tc>
      </w:tr>
      <w:tr w:rsidR="00E36A50" w14:paraId="2367AABD" w14:textId="77777777" w:rsidTr="00FC11DB">
        <w:tc>
          <w:tcPr>
            <w:tcW w:w="4832" w:type="dxa"/>
          </w:tcPr>
          <w:p w14:paraId="68714641"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 xml:space="preserve">Referred to major change process </w:t>
            </w:r>
          </w:p>
          <w:p w14:paraId="5CA10CCB" w14:textId="77777777" w:rsidR="00E36A50" w:rsidRDefault="00E36A50" w:rsidP="00FC11DB">
            <w:pPr>
              <w:contextualSpacing/>
              <w:rPr>
                <w:rFonts w:ascii="Arial" w:eastAsia="MS Mincho" w:hAnsi="Arial" w:cs="Arial"/>
                <w:sz w:val="24"/>
                <w:szCs w:val="24"/>
              </w:rPr>
            </w:pPr>
          </w:p>
        </w:tc>
        <w:tc>
          <w:tcPr>
            <w:tcW w:w="1123" w:type="dxa"/>
          </w:tcPr>
          <w:p w14:paraId="2974B824"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 xml:space="preserve">17 </w:t>
            </w:r>
          </w:p>
        </w:tc>
        <w:tc>
          <w:tcPr>
            <w:tcW w:w="2924" w:type="dxa"/>
          </w:tcPr>
          <w:p w14:paraId="7DC9023C" w14:textId="77777777" w:rsidR="00E36A50" w:rsidRDefault="00E36A50" w:rsidP="00FC11DB">
            <w:pPr>
              <w:contextualSpacing/>
              <w:rPr>
                <w:rFonts w:ascii="Arial" w:eastAsia="MS Mincho" w:hAnsi="Arial" w:cs="Arial"/>
                <w:sz w:val="24"/>
                <w:szCs w:val="24"/>
              </w:rPr>
            </w:pPr>
          </w:p>
        </w:tc>
      </w:tr>
      <w:tr w:rsidR="00E36A50" w14:paraId="5BC4E8E8" w14:textId="77777777" w:rsidTr="0090402A">
        <w:tc>
          <w:tcPr>
            <w:tcW w:w="8879" w:type="dxa"/>
            <w:gridSpan w:val="3"/>
          </w:tcPr>
          <w:p w14:paraId="2C6C8F5F" w14:textId="518199C2" w:rsidR="00E36A50" w:rsidRPr="00E36A50" w:rsidRDefault="00E36A50" w:rsidP="00FC11DB">
            <w:pPr>
              <w:contextualSpacing/>
              <w:rPr>
                <w:rFonts w:ascii="Arial" w:eastAsia="MS Mincho" w:hAnsi="Arial" w:cs="Arial"/>
                <w:b/>
                <w:sz w:val="24"/>
                <w:szCs w:val="24"/>
              </w:rPr>
            </w:pPr>
            <w:r w:rsidRPr="00E36A50">
              <w:rPr>
                <w:rFonts w:ascii="Arial" w:eastAsia="MS Mincho" w:hAnsi="Arial" w:cs="Arial"/>
                <w:b/>
                <w:sz w:val="24"/>
                <w:szCs w:val="24"/>
              </w:rPr>
              <w:t>Education provider withdrew during the process</w:t>
            </w:r>
          </w:p>
        </w:tc>
      </w:tr>
      <w:tr w:rsidR="00E36A50" w14:paraId="346D3ECB" w14:textId="77777777" w:rsidTr="00FC11DB">
        <w:tc>
          <w:tcPr>
            <w:tcW w:w="4832" w:type="dxa"/>
          </w:tcPr>
          <w:p w14:paraId="5B0DE0B6" w14:textId="13904F62" w:rsidR="00E36A50" w:rsidRDefault="00E36A50" w:rsidP="00E36A50">
            <w:pPr>
              <w:contextualSpacing/>
              <w:rPr>
                <w:rFonts w:ascii="Arial" w:eastAsia="MS Mincho" w:hAnsi="Arial" w:cs="Arial"/>
                <w:sz w:val="24"/>
                <w:szCs w:val="24"/>
              </w:rPr>
            </w:pPr>
            <w:r>
              <w:rPr>
                <w:rFonts w:ascii="Arial" w:eastAsia="MS Mincho" w:hAnsi="Arial" w:cs="Arial"/>
                <w:sz w:val="24"/>
                <w:szCs w:val="24"/>
              </w:rPr>
              <w:t xml:space="preserve">Education provider withdrew the proposal before </w:t>
            </w:r>
            <w:r w:rsidR="00A81E47">
              <w:rPr>
                <w:rFonts w:ascii="Arial" w:eastAsia="MS Mincho" w:hAnsi="Arial" w:cs="Arial"/>
                <w:sz w:val="24"/>
                <w:szCs w:val="24"/>
              </w:rPr>
              <w:t xml:space="preserve">documentary </w:t>
            </w:r>
            <w:r>
              <w:rPr>
                <w:rFonts w:ascii="Arial" w:eastAsia="MS Mincho" w:hAnsi="Arial" w:cs="Arial"/>
                <w:sz w:val="24"/>
                <w:szCs w:val="24"/>
              </w:rPr>
              <w:t>submission stage</w:t>
            </w:r>
          </w:p>
        </w:tc>
        <w:tc>
          <w:tcPr>
            <w:tcW w:w="1123" w:type="dxa"/>
          </w:tcPr>
          <w:p w14:paraId="3E728DF8"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 xml:space="preserve">3 </w:t>
            </w:r>
          </w:p>
        </w:tc>
        <w:tc>
          <w:tcPr>
            <w:tcW w:w="2924" w:type="dxa"/>
          </w:tcPr>
          <w:p w14:paraId="4BBD337E" w14:textId="76EF58BD" w:rsidR="00E36A50" w:rsidRDefault="00E36A50" w:rsidP="00FC11DB">
            <w:pPr>
              <w:contextualSpacing/>
              <w:rPr>
                <w:rFonts w:ascii="Arial" w:eastAsia="MS Mincho" w:hAnsi="Arial" w:cs="Arial"/>
                <w:sz w:val="24"/>
                <w:szCs w:val="24"/>
              </w:rPr>
            </w:pPr>
          </w:p>
        </w:tc>
      </w:tr>
      <w:tr w:rsidR="00E36A50" w14:paraId="6EAA30D7" w14:textId="77777777" w:rsidTr="00FC11DB">
        <w:tc>
          <w:tcPr>
            <w:tcW w:w="4832" w:type="dxa"/>
          </w:tcPr>
          <w:p w14:paraId="5AC777FE"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lastRenderedPageBreak/>
              <w:t>Education provider withdrew after first documentary submission but before visitors had made a recommendation</w:t>
            </w:r>
          </w:p>
        </w:tc>
        <w:tc>
          <w:tcPr>
            <w:tcW w:w="1123" w:type="dxa"/>
          </w:tcPr>
          <w:p w14:paraId="31533B98"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 xml:space="preserve">2 </w:t>
            </w:r>
          </w:p>
        </w:tc>
        <w:tc>
          <w:tcPr>
            <w:tcW w:w="2924" w:type="dxa"/>
          </w:tcPr>
          <w:p w14:paraId="6121F468" w14:textId="46ED45D3" w:rsidR="00E36A50" w:rsidRDefault="00E36A50" w:rsidP="00FC11DB">
            <w:pPr>
              <w:contextualSpacing/>
              <w:rPr>
                <w:rFonts w:ascii="Arial" w:eastAsia="MS Mincho" w:hAnsi="Arial" w:cs="Arial"/>
                <w:sz w:val="24"/>
                <w:szCs w:val="24"/>
              </w:rPr>
            </w:pPr>
          </w:p>
        </w:tc>
      </w:tr>
      <w:tr w:rsidR="00E36A50" w:rsidRPr="00E36A50" w14:paraId="0D08118A" w14:textId="77777777" w:rsidTr="00865C54">
        <w:tc>
          <w:tcPr>
            <w:tcW w:w="8879" w:type="dxa"/>
            <w:gridSpan w:val="3"/>
          </w:tcPr>
          <w:p w14:paraId="5E4EB87A" w14:textId="5DCDCEEC" w:rsidR="00E36A50" w:rsidRPr="00E36A50" w:rsidRDefault="00E36A50" w:rsidP="00FC11DB">
            <w:pPr>
              <w:contextualSpacing/>
              <w:rPr>
                <w:rFonts w:ascii="Arial" w:eastAsia="MS Mincho" w:hAnsi="Arial" w:cs="Arial"/>
                <w:b/>
                <w:sz w:val="24"/>
                <w:szCs w:val="24"/>
              </w:rPr>
            </w:pPr>
            <w:r w:rsidRPr="00E36A50">
              <w:rPr>
                <w:rFonts w:ascii="Arial" w:eastAsia="MS Mincho" w:hAnsi="Arial" w:cs="Arial"/>
                <w:b/>
                <w:sz w:val="24"/>
                <w:szCs w:val="24"/>
              </w:rPr>
              <w:t>Visitors reached a final recommendation</w:t>
            </w:r>
          </w:p>
        </w:tc>
      </w:tr>
      <w:tr w:rsidR="00E36A50" w14:paraId="2B7B666B" w14:textId="77777777" w:rsidTr="00FC11DB">
        <w:tc>
          <w:tcPr>
            <w:tcW w:w="4832" w:type="dxa"/>
          </w:tcPr>
          <w:p w14:paraId="12209A00"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Cases where visitors made a final recommendation</w:t>
            </w:r>
          </w:p>
        </w:tc>
        <w:tc>
          <w:tcPr>
            <w:tcW w:w="1123" w:type="dxa"/>
          </w:tcPr>
          <w:p w14:paraId="07C0A913"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12</w:t>
            </w:r>
          </w:p>
        </w:tc>
        <w:tc>
          <w:tcPr>
            <w:tcW w:w="2924" w:type="dxa"/>
          </w:tcPr>
          <w:p w14:paraId="052304CA" w14:textId="77777777" w:rsidR="00E36A50" w:rsidRDefault="00E36A50" w:rsidP="00FC11DB">
            <w:pPr>
              <w:contextualSpacing/>
              <w:rPr>
                <w:rFonts w:ascii="Arial" w:eastAsia="MS Mincho" w:hAnsi="Arial" w:cs="Arial"/>
                <w:sz w:val="24"/>
                <w:szCs w:val="24"/>
              </w:rPr>
            </w:pPr>
          </w:p>
        </w:tc>
      </w:tr>
      <w:tr w:rsidR="00E36A50" w14:paraId="385C5893" w14:textId="77777777" w:rsidTr="00FC11DB">
        <w:tc>
          <w:tcPr>
            <w:tcW w:w="4832" w:type="dxa"/>
          </w:tcPr>
          <w:p w14:paraId="3814D0B7"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Cases where visitors recommended approval after completion of major change process</w:t>
            </w:r>
          </w:p>
        </w:tc>
        <w:tc>
          <w:tcPr>
            <w:tcW w:w="1123" w:type="dxa"/>
          </w:tcPr>
          <w:p w14:paraId="1197DF04"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1</w:t>
            </w:r>
          </w:p>
        </w:tc>
        <w:tc>
          <w:tcPr>
            <w:tcW w:w="2924" w:type="dxa"/>
          </w:tcPr>
          <w:p w14:paraId="0A534A76"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ETCP agreed visit recommendation 12 Nov 2020. Visit taking place in April 2021. T</w:t>
            </w:r>
            <w:r w:rsidRPr="00543AC8">
              <w:rPr>
                <w:rFonts w:ascii="Arial" w:eastAsia="MS Mincho" w:hAnsi="Arial" w:cs="Arial"/>
                <w:sz w:val="24"/>
                <w:szCs w:val="24"/>
              </w:rPr>
              <w:t>he visitors were not satisfied with the sustainability, resourcing and practice-based learning on the programme</w:t>
            </w:r>
          </w:p>
        </w:tc>
      </w:tr>
      <w:tr w:rsidR="00E36A50" w14:paraId="37CAA82C" w14:textId="77777777" w:rsidTr="00FC11DB">
        <w:tc>
          <w:tcPr>
            <w:tcW w:w="4832" w:type="dxa"/>
          </w:tcPr>
          <w:p w14:paraId="49BED2B9"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 xml:space="preserve">Cases where visitors recommended approval of an apprenticeship after completion of major change process </w:t>
            </w:r>
          </w:p>
        </w:tc>
        <w:tc>
          <w:tcPr>
            <w:tcW w:w="1123" w:type="dxa"/>
          </w:tcPr>
          <w:p w14:paraId="38A6DC73"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11</w:t>
            </w:r>
          </w:p>
        </w:tc>
        <w:tc>
          <w:tcPr>
            <w:tcW w:w="2924" w:type="dxa"/>
          </w:tcPr>
          <w:p w14:paraId="7463E810" w14:textId="77777777" w:rsidR="00E36A50" w:rsidRDefault="00E36A50" w:rsidP="00FC11DB">
            <w:pPr>
              <w:contextualSpacing/>
              <w:rPr>
                <w:rFonts w:ascii="Arial" w:eastAsia="MS Mincho" w:hAnsi="Arial" w:cs="Arial"/>
                <w:sz w:val="24"/>
                <w:szCs w:val="24"/>
              </w:rPr>
            </w:pPr>
          </w:p>
        </w:tc>
      </w:tr>
      <w:tr w:rsidR="00C051F2" w14:paraId="6025A09B" w14:textId="77777777" w:rsidTr="00FC11DB">
        <w:tc>
          <w:tcPr>
            <w:tcW w:w="4832" w:type="dxa"/>
          </w:tcPr>
          <w:p w14:paraId="50EFC198" w14:textId="6C4BF2B0" w:rsidR="00C051F2" w:rsidRDefault="00C051F2" w:rsidP="00FC11DB">
            <w:pPr>
              <w:contextualSpacing/>
              <w:rPr>
                <w:rFonts w:ascii="Arial" w:eastAsia="MS Mincho" w:hAnsi="Arial" w:cs="Arial"/>
                <w:sz w:val="24"/>
                <w:szCs w:val="24"/>
              </w:rPr>
            </w:pPr>
            <w:r>
              <w:rPr>
                <w:rFonts w:ascii="Arial" w:eastAsia="MS Mincho" w:hAnsi="Arial" w:cs="Arial"/>
                <w:sz w:val="24"/>
                <w:szCs w:val="24"/>
              </w:rPr>
              <w:t xml:space="preserve">Cases where additional documentation was requested </w:t>
            </w:r>
            <w:r w:rsidRPr="00C051F2">
              <w:rPr>
                <w:rFonts w:ascii="Arial" w:eastAsia="MS Mincho" w:hAnsi="Arial" w:cs="Arial"/>
                <w:b/>
                <w:sz w:val="24"/>
                <w:szCs w:val="24"/>
              </w:rPr>
              <w:t>and</w:t>
            </w:r>
            <w:r>
              <w:rPr>
                <w:rFonts w:ascii="Arial" w:eastAsia="MS Mincho" w:hAnsi="Arial" w:cs="Arial"/>
                <w:sz w:val="24"/>
                <w:szCs w:val="24"/>
              </w:rPr>
              <w:t xml:space="preserve"> a final recommendation was made</w:t>
            </w:r>
          </w:p>
        </w:tc>
        <w:tc>
          <w:tcPr>
            <w:tcW w:w="1123" w:type="dxa"/>
          </w:tcPr>
          <w:p w14:paraId="18E2C5A1" w14:textId="455EAEE6" w:rsidR="00C051F2" w:rsidRDefault="00C051F2" w:rsidP="00FC11DB">
            <w:pPr>
              <w:contextualSpacing/>
              <w:rPr>
                <w:rFonts w:ascii="Arial" w:eastAsia="MS Mincho" w:hAnsi="Arial" w:cs="Arial"/>
                <w:sz w:val="24"/>
                <w:szCs w:val="24"/>
              </w:rPr>
            </w:pPr>
            <w:r>
              <w:rPr>
                <w:rFonts w:ascii="Arial" w:eastAsia="MS Mincho" w:hAnsi="Arial" w:cs="Arial"/>
                <w:sz w:val="24"/>
                <w:szCs w:val="24"/>
              </w:rPr>
              <w:t>7</w:t>
            </w:r>
          </w:p>
        </w:tc>
        <w:tc>
          <w:tcPr>
            <w:tcW w:w="2924" w:type="dxa"/>
          </w:tcPr>
          <w:p w14:paraId="4EC46A0F" w14:textId="77777777" w:rsidR="00C051F2" w:rsidRDefault="00C051F2" w:rsidP="00FC11DB">
            <w:pPr>
              <w:contextualSpacing/>
              <w:rPr>
                <w:rFonts w:ascii="Arial" w:eastAsia="MS Mincho" w:hAnsi="Arial" w:cs="Arial"/>
                <w:sz w:val="24"/>
                <w:szCs w:val="24"/>
              </w:rPr>
            </w:pPr>
          </w:p>
        </w:tc>
      </w:tr>
      <w:tr w:rsidR="00E36A50" w14:paraId="599AAD62" w14:textId="77777777" w:rsidTr="00FC11DB">
        <w:tc>
          <w:tcPr>
            <w:tcW w:w="4832" w:type="dxa"/>
          </w:tcPr>
          <w:p w14:paraId="74A26B49"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Cases where visitors requested additional documentation after viewing an initial submission</w:t>
            </w:r>
          </w:p>
        </w:tc>
        <w:tc>
          <w:tcPr>
            <w:tcW w:w="1123" w:type="dxa"/>
          </w:tcPr>
          <w:p w14:paraId="15FABE6B"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9</w:t>
            </w:r>
          </w:p>
        </w:tc>
        <w:tc>
          <w:tcPr>
            <w:tcW w:w="2924" w:type="dxa"/>
          </w:tcPr>
          <w:p w14:paraId="4F67BBC1"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In two of these cases the education provider withdrew after receiving a request for further documentation</w:t>
            </w:r>
          </w:p>
        </w:tc>
      </w:tr>
      <w:tr w:rsidR="00E36A50" w14:paraId="617B3DA1" w14:textId="77777777" w:rsidTr="00FC11DB">
        <w:tc>
          <w:tcPr>
            <w:tcW w:w="4832" w:type="dxa"/>
          </w:tcPr>
          <w:p w14:paraId="1DFA7360"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Cases where visitors recommended approval after an additional evidence request</w:t>
            </w:r>
          </w:p>
        </w:tc>
        <w:tc>
          <w:tcPr>
            <w:tcW w:w="1123" w:type="dxa"/>
          </w:tcPr>
          <w:p w14:paraId="2C28FD7F"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6</w:t>
            </w:r>
          </w:p>
        </w:tc>
        <w:tc>
          <w:tcPr>
            <w:tcW w:w="2924" w:type="dxa"/>
          </w:tcPr>
          <w:p w14:paraId="3B91BFE3" w14:textId="1171EE29" w:rsidR="00E36A50" w:rsidRDefault="009C5A79" w:rsidP="00FC11DB">
            <w:pPr>
              <w:contextualSpacing/>
              <w:rPr>
                <w:rFonts w:ascii="Arial" w:eastAsia="MS Mincho" w:hAnsi="Arial" w:cs="Arial"/>
                <w:sz w:val="24"/>
                <w:szCs w:val="24"/>
              </w:rPr>
            </w:pPr>
            <w:r>
              <w:rPr>
                <w:rFonts w:ascii="Arial" w:eastAsia="MS Mincho" w:hAnsi="Arial" w:cs="Arial"/>
                <w:sz w:val="24"/>
                <w:szCs w:val="24"/>
              </w:rPr>
              <w:t xml:space="preserve">This figure </w:t>
            </w:r>
            <w:r w:rsidR="00E36A50">
              <w:rPr>
                <w:rFonts w:ascii="Arial" w:eastAsia="MS Mincho" w:hAnsi="Arial" w:cs="Arial"/>
                <w:sz w:val="24"/>
                <w:szCs w:val="24"/>
              </w:rPr>
              <w:t>takes into account the two withdrawals noted above and the one case where a visit was recommended</w:t>
            </w:r>
          </w:p>
        </w:tc>
      </w:tr>
      <w:tr w:rsidR="00E36A50" w14:paraId="2931C84D" w14:textId="77777777" w:rsidTr="00FC11DB">
        <w:tc>
          <w:tcPr>
            <w:tcW w:w="4832" w:type="dxa"/>
          </w:tcPr>
          <w:p w14:paraId="4FF84558"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 xml:space="preserve">Cases where visitors recommended approval based on the initial submission </w:t>
            </w:r>
          </w:p>
        </w:tc>
        <w:tc>
          <w:tcPr>
            <w:tcW w:w="1123" w:type="dxa"/>
          </w:tcPr>
          <w:p w14:paraId="0289247A" w14:textId="77777777" w:rsidR="00E36A50" w:rsidRDefault="00E36A50" w:rsidP="00FC11DB">
            <w:pPr>
              <w:contextualSpacing/>
              <w:rPr>
                <w:rFonts w:ascii="Arial" w:eastAsia="MS Mincho" w:hAnsi="Arial" w:cs="Arial"/>
                <w:sz w:val="24"/>
                <w:szCs w:val="24"/>
              </w:rPr>
            </w:pPr>
            <w:r>
              <w:rPr>
                <w:rFonts w:ascii="Arial" w:eastAsia="MS Mincho" w:hAnsi="Arial" w:cs="Arial"/>
                <w:sz w:val="24"/>
                <w:szCs w:val="24"/>
              </w:rPr>
              <w:t>5</w:t>
            </w:r>
          </w:p>
        </w:tc>
        <w:tc>
          <w:tcPr>
            <w:tcW w:w="2924" w:type="dxa"/>
          </w:tcPr>
          <w:p w14:paraId="62491830" w14:textId="77777777" w:rsidR="00E36A50" w:rsidRDefault="00E36A50" w:rsidP="00FC11DB">
            <w:pPr>
              <w:contextualSpacing/>
              <w:rPr>
                <w:rFonts w:ascii="Arial" w:eastAsia="MS Mincho" w:hAnsi="Arial" w:cs="Arial"/>
                <w:sz w:val="24"/>
                <w:szCs w:val="24"/>
              </w:rPr>
            </w:pPr>
          </w:p>
        </w:tc>
      </w:tr>
    </w:tbl>
    <w:p w14:paraId="59DC3F64" w14:textId="40320AF2" w:rsidR="00E36A50" w:rsidRDefault="00E36A50" w:rsidP="00CE727F">
      <w:pPr>
        <w:spacing w:after="0" w:line="240" w:lineRule="auto"/>
        <w:rPr>
          <w:rFonts w:ascii="Arial" w:eastAsia="MS Mincho" w:hAnsi="Arial" w:cs="Arial"/>
          <w:sz w:val="24"/>
          <w:szCs w:val="24"/>
        </w:rPr>
      </w:pPr>
    </w:p>
    <w:p w14:paraId="374C61FF" w14:textId="54D79905" w:rsidR="00CE727F" w:rsidRPr="00F34EE9" w:rsidRDefault="00F34EE9" w:rsidP="00F34EE9">
      <w:pPr>
        <w:pStyle w:val="ListParagraph"/>
        <w:numPr>
          <w:ilvl w:val="0"/>
          <w:numId w:val="18"/>
        </w:numPr>
        <w:contextualSpacing/>
        <w:rPr>
          <w:rFonts w:ascii="Arial" w:eastAsia="MS Mincho" w:hAnsi="Arial" w:cs="Arial"/>
          <w:sz w:val="24"/>
          <w:szCs w:val="24"/>
        </w:rPr>
      </w:pPr>
      <w:r w:rsidRPr="00F34EE9">
        <w:rPr>
          <w:rFonts w:ascii="Arial" w:eastAsia="MS Mincho" w:hAnsi="Arial" w:cs="Arial"/>
          <w:sz w:val="24"/>
          <w:szCs w:val="24"/>
        </w:rPr>
        <w:t>O</w:t>
      </w:r>
      <w:r w:rsidR="00CE727F" w:rsidRPr="00F34EE9">
        <w:rPr>
          <w:rFonts w:ascii="Arial" w:eastAsia="MS Mincho" w:hAnsi="Arial" w:cs="Arial"/>
          <w:sz w:val="24"/>
          <w:szCs w:val="24"/>
        </w:rPr>
        <w:t>nly one out of the 18 requests that came to us through the major change process was reviewed through the approval process after initial assessment by the Executive (5.5 per cent). This is a noticeable decline from the previous two years</w:t>
      </w:r>
      <w:r w:rsidR="00541B5A" w:rsidRPr="00F34EE9">
        <w:rPr>
          <w:rFonts w:ascii="Arial" w:eastAsia="MS Mincho" w:hAnsi="Arial" w:cs="Arial"/>
          <w:sz w:val="24"/>
          <w:szCs w:val="24"/>
        </w:rPr>
        <w:t xml:space="preserve">. It is comparable to the figure for all major changes in 2019-20 (3 per cent), but comparisons are difficult because </w:t>
      </w:r>
      <w:r w:rsidR="00106729" w:rsidRPr="00F34EE9">
        <w:rPr>
          <w:rFonts w:ascii="Arial" w:eastAsia="MS Mincho" w:hAnsi="Arial" w:cs="Arial"/>
          <w:sz w:val="24"/>
          <w:szCs w:val="24"/>
        </w:rPr>
        <w:t xml:space="preserve">of </w:t>
      </w:r>
      <w:r w:rsidR="00541B5A" w:rsidRPr="00F34EE9">
        <w:rPr>
          <w:rFonts w:ascii="Arial" w:eastAsia="MS Mincho" w:hAnsi="Arial" w:cs="Arial"/>
          <w:sz w:val="24"/>
          <w:szCs w:val="24"/>
        </w:rPr>
        <w:t>the low actual numbers.</w:t>
      </w:r>
    </w:p>
    <w:p w14:paraId="0858520D" w14:textId="77777777" w:rsidR="00CE727F" w:rsidRPr="00CE727F" w:rsidRDefault="00CE727F" w:rsidP="00CE727F">
      <w:pPr>
        <w:spacing w:after="0" w:line="240" w:lineRule="auto"/>
        <w:rPr>
          <w:rFonts w:ascii="Arial" w:eastAsia="MS Mincho" w:hAnsi="Arial" w:cs="Arial"/>
          <w:sz w:val="24"/>
          <w:szCs w:val="24"/>
        </w:rPr>
      </w:pPr>
    </w:p>
    <w:p w14:paraId="3F506B1B" w14:textId="6C40D105" w:rsidR="00CE727F" w:rsidRPr="00CE727F" w:rsidRDefault="00CC74FD" w:rsidP="00CC74FD">
      <w:pPr>
        <w:spacing w:after="0" w:line="240" w:lineRule="auto"/>
        <w:jc w:val="center"/>
        <w:rPr>
          <w:rFonts w:ascii="Arial" w:eastAsia="MS Mincho" w:hAnsi="Arial" w:cs="Arial"/>
          <w:sz w:val="24"/>
          <w:szCs w:val="24"/>
        </w:rPr>
      </w:pPr>
      <w:r>
        <w:rPr>
          <w:noProof/>
          <w:lang w:eastAsia="en-GB"/>
        </w:rPr>
        <w:lastRenderedPageBreak/>
        <w:drawing>
          <wp:inline distT="0" distB="0" distL="0" distR="0" wp14:anchorId="0D9F9259" wp14:editId="40C2B598">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E27457" w14:textId="77777777" w:rsidR="00F34EE9" w:rsidRDefault="00F34EE9" w:rsidP="00F34EE9">
      <w:pPr>
        <w:spacing w:after="0" w:line="240" w:lineRule="auto"/>
        <w:contextualSpacing/>
        <w:rPr>
          <w:rFonts w:ascii="Arial" w:eastAsia="MS Mincho" w:hAnsi="Arial" w:cs="Arial"/>
          <w:sz w:val="24"/>
          <w:szCs w:val="24"/>
        </w:rPr>
      </w:pPr>
    </w:p>
    <w:p w14:paraId="374380A3" w14:textId="6E94DE5E" w:rsidR="00E349E8" w:rsidRPr="00F34EE9" w:rsidRDefault="00CE727F" w:rsidP="00F34EE9">
      <w:pPr>
        <w:pStyle w:val="ListParagraph"/>
        <w:numPr>
          <w:ilvl w:val="0"/>
          <w:numId w:val="18"/>
        </w:numPr>
        <w:contextualSpacing/>
        <w:rPr>
          <w:rFonts w:ascii="Arial" w:eastAsia="MS Mincho" w:hAnsi="Arial" w:cs="Arial"/>
          <w:sz w:val="24"/>
          <w:szCs w:val="24"/>
        </w:rPr>
      </w:pPr>
      <w:r w:rsidRPr="00F34EE9">
        <w:rPr>
          <w:rFonts w:ascii="Arial" w:eastAsia="MS Mincho" w:hAnsi="Arial" w:cs="Arial"/>
          <w:sz w:val="24"/>
          <w:szCs w:val="24"/>
        </w:rPr>
        <w:t>As shown in the graph above, in</w:t>
      </w:r>
      <w:r w:rsidR="007B0803" w:rsidRPr="00F34EE9">
        <w:rPr>
          <w:rFonts w:ascii="Arial" w:eastAsia="MS Mincho" w:hAnsi="Arial" w:cs="Arial"/>
          <w:sz w:val="24"/>
          <w:szCs w:val="24"/>
        </w:rPr>
        <w:t xml:space="preserve"> 2017-18 one third of major changes requesting an apprenticeship were referred to the approval process. In</w:t>
      </w:r>
      <w:r w:rsidRPr="00F34EE9">
        <w:rPr>
          <w:rFonts w:ascii="Arial" w:eastAsia="MS Mincho" w:hAnsi="Arial" w:cs="Arial"/>
          <w:sz w:val="24"/>
          <w:szCs w:val="24"/>
        </w:rPr>
        <w:t xml:space="preserve"> 2018-19</w:t>
      </w:r>
      <w:r w:rsidR="00106729" w:rsidRPr="00F34EE9">
        <w:rPr>
          <w:rFonts w:ascii="Arial" w:eastAsia="MS Mincho" w:hAnsi="Arial" w:cs="Arial"/>
          <w:sz w:val="24"/>
          <w:szCs w:val="24"/>
        </w:rPr>
        <w:t>,</w:t>
      </w:r>
      <w:r w:rsidRPr="00F34EE9">
        <w:rPr>
          <w:rFonts w:ascii="Arial" w:eastAsia="MS Mincho" w:hAnsi="Arial" w:cs="Arial"/>
          <w:sz w:val="24"/>
          <w:szCs w:val="24"/>
        </w:rPr>
        <w:t xml:space="preserve"> 14 per cent were referred to the approval process. </w:t>
      </w:r>
      <w:r w:rsidR="007B0803" w:rsidRPr="00F34EE9">
        <w:rPr>
          <w:rFonts w:ascii="Arial" w:eastAsia="MS Mincho" w:hAnsi="Arial" w:cs="Arial"/>
          <w:sz w:val="24"/>
          <w:szCs w:val="24"/>
        </w:rPr>
        <w:t>T</w:t>
      </w:r>
      <w:r w:rsidR="00802533" w:rsidRPr="00F34EE9">
        <w:rPr>
          <w:rFonts w:ascii="Arial" w:eastAsia="MS Mincho" w:hAnsi="Arial" w:cs="Arial"/>
          <w:sz w:val="24"/>
          <w:szCs w:val="24"/>
        </w:rPr>
        <w:t xml:space="preserve">he downward trend </w:t>
      </w:r>
      <w:r w:rsidRPr="00F34EE9">
        <w:rPr>
          <w:rFonts w:ascii="Arial" w:eastAsia="MS Mincho" w:hAnsi="Arial" w:cs="Arial"/>
          <w:sz w:val="24"/>
          <w:szCs w:val="24"/>
        </w:rPr>
        <w:t>is likely due to changed expectations in the Executive around the general principles for assessment, and what would constitute the most reasonable and proportionate approach.</w:t>
      </w:r>
      <w:r w:rsidR="0066060F" w:rsidRPr="00F34EE9">
        <w:rPr>
          <w:rFonts w:ascii="Arial" w:eastAsia="MS Mincho" w:hAnsi="Arial" w:cs="Arial"/>
          <w:sz w:val="24"/>
          <w:szCs w:val="24"/>
        </w:rPr>
        <w:t xml:space="preserve"> As discussed elsewhere in this report, the available data supports our decision to adopt these general principles. </w:t>
      </w:r>
      <w:r w:rsidRPr="00F34EE9">
        <w:rPr>
          <w:rFonts w:ascii="Arial" w:eastAsia="MS Mincho" w:hAnsi="Arial" w:cs="Arial"/>
          <w:sz w:val="24"/>
          <w:szCs w:val="24"/>
        </w:rPr>
        <w:t xml:space="preserve"> </w:t>
      </w:r>
    </w:p>
    <w:p w14:paraId="3FB50284" w14:textId="77777777" w:rsidR="00E349E8" w:rsidRDefault="00E349E8" w:rsidP="00E349E8">
      <w:pPr>
        <w:pStyle w:val="ListParagraph"/>
        <w:rPr>
          <w:rFonts w:ascii="Arial" w:eastAsia="MS Mincho" w:hAnsi="Arial" w:cs="Arial"/>
          <w:sz w:val="24"/>
          <w:szCs w:val="24"/>
        </w:rPr>
      </w:pPr>
    </w:p>
    <w:p w14:paraId="775873AB" w14:textId="33A916D1" w:rsidR="00E349E8" w:rsidRPr="00CE727F" w:rsidRDefault="00E349E8" w:rsidP="00F34EE9">
      <w:pPr>
        <w:numPr>
          <w:ilvl w:val="0"/>
          <w:numId w:val="18"/>
        </w:numPr>
        <w:spacing w:after="0" w:line="240" w:lineRule="auto"/>
        <w:contextualSpacing/>
        <w:rPr>
          <w:rFonts w:ascii="Arial" w:eastAsia="MS Mincho" w:hAnsi="Arial" w:cs="Arial"/>
          <w:sz w:val="24"/>
          <w:szCs w:val="24"/>
        </w:rPr>
      </w:pPr>
      <w:r>
        <w:rPr>
          <w:rFonts w:ascii="Arial" w:eastAsia="MS Mincho" w:hAnsi="Arial" w:cs="Arial"/>
          <w:sz w:val="24"/>
          <w:szCs w:val="24"/>
        </w:rPr>
        <w:t>As table shows, five cases were cancelled at various stages</w:t>
      </w:r>
      <w:r w:rsidRPr="00CE727F">
        <w:rPr>
          <w:rFonts w:ascii="Arial" w:eastAsia="MS Mincho" w:hAnsi="Arial" w:cs="Arial"/>
          <w:sz w:val="24"/>
          <w:szCs w:val="24"/>
        </w:rPr>
        <w:t>.</w:t>
      </w:r>
      <w:r>
        <w:rPr>
          <w:rFonts w:ascii="Arial" w:eastAsia="MS Mincho" w:hAnsi="Arial" w:cs="Arial"/>
          <w:sz w:val="24"/>
          <w:szCs w:val="24"/>
        </w:rPr>
        <w:t xml:space="preserve"> This was due to</w:t>
      </w:r>
      <w:r w:rsidRPr="00CE727F">
        <w:rPr>
          <w:rFonts w:ascii="Arial" w:eastAsia="MS Mincho" w:hAnsi="Arial" w:cs="Arial"/>
          <w:sz w:val="24"/>
          <w:szCs w:val="24"/>
        </w:rPr>
        <w:t xml:space="preserve"> education providers</w:t>
      </w:r>
      <w:r>
        <w:rPr>
          <w:rFonts w:ascii="Arial" w:eastAsia="MS Mincho" w:hAnsi="Arial" w:cs="Arial"/>
          <w:sz w:val="24"/>
          <w:szCs w:val="24"/>
        </w:rPr>
        <w:t xml:space="preserve"> determining that they were not ready to proceed</w:t>
      </w:r>
      <w:r w:rsidRPr="00CE727F">
        <w:rPr>
          <w:rFonts w:ascii="Arial" w:eastAsia="MS Mincho" w:hAnsi="Arial" w:cs="Arial"/>
          <w:sz w:val="24"/>
          <w:szCs w:val="24"/>
        </w:rPr>
        <w:t>, or because of delays du</w:t>
      </w:r>
      <w:r>
        <w:rPr>
          <w:rFonts w:ascii="Arial" w:eastAsia="MS Mincho" w:hAnsi="Arial" w:cs="Arial"/>
          <w:sz w:val="24"/>
          <w:szCs w:val="24"/>
        </w:rPr>
        <w:t>e to the COVID-19 pandemic. Three</w:t>
      </w:r>
      <w:r w:rsidRPr="00CE727F">
        <w:rPr>
          <w:rFonts w:ascii="Arial" w:eastAsia="MS Mincho" w:hAnsi="Arial" w:cs="Arial"/>
          <w:sz w:val="24"/>
          <w:szCs w:val="24"/>
        </w:rPr>
        <w:t xml:space="preserve"> of the w</w:t>
      </w:r>
      <w:r>
        <w:rPr>
          <w:rFonts w:ascii="Arial" w:eastAsia="MS Mincho" w:hAnsi="Arial" w:cs="Arial"/>
          <w:sz w:val="24"/>
          <w:szCs w:val="24"/>
        </w:rPr>
        <w:t>ithdrawn cases were from one education provider</w:t>
      </w:r>
      <w:r w:rsidRPr="00CE727F">
        <w:rPr>
          <w:rFonts w:ascii="Arial" w:eastAsia="MS Mincho" w:hAnsi="Arial" w:cs="Arial"/>
          <w:sz w:val="24"/>
          <w:szCs w:val="24"/>
        </w:rPr>
        <w:t xml:space="preserve">, so this may be reflective of particular institutional circumstances.  </w:t>
      </w:r>
    </w:p>
    <w:p w14:paraId="4DD4D252" w14:textId="77777777" w:rsidR="00E349E8" w:rsidRDefault="00E349E8" w:rsidP="00984A5D">
      <w:pPr>
        <w:spacing w:after="0" w:line="240" w:lineRule="auto"/>
        <w:contextualSpacing/>
        <w:rPr>
          <w:rFonts w:ascii="Arial" w:eastAsia="MS Mincho" w:hAnsi="Arial" w:cs="Arial"/>
          <w:sz w:val="24"/>
          <w:szCs w:val="24"/>
        </w:rPr>
      </w:pPr>
    </w:p>
    <w:p w14:paraId="6C3F011F" w14:textId="02A7A0FF" w:rsidR="00CE727F" w:rsidRPr="00CE727F" w:rsidRDefault="00730E7D" w:rsidP="00F34EE9">
      <w:pPr>
        <w:numPr>
          <w:ilvl w:val="0"/>
          <w:numId w:val="18"/>
        </w:numPr>
        <w:spacing w:after="0" w:line="240" w:lineRule="auto"/>
        <w:contextualSpacing/>
        <w:rPr>
          <w:rFonts w:ascii="Arial" w:eastAsia="MS Mincho" w:hAnsi="Arial" w:cs="Arial"/>
          <w:sz w:val="24"/>
          <w:szCs w:val="24"/>
        </w:rPr>
      </w:pPr>
      <w:r>
        <w:rPr>
          <w:rFonts w:ascii="Arial" w:eastAsia="MS Mincho" w:hAnsi="Arial" w:cs="Arial"/>
          <w:sz w:val="24"/>
          <w:szCs w:val="24"/>
        </w:rPr>
        <w:t>In the nine cases where additional documents were requested</w:t>
      </w:r>
      <w:r w:rsidR="00CE727F" w:rsidRPr="00CE727F">
        <w:rPr>
          <w:rFonts w:ascii="Arial" w:eastAsia="MS Mincho" w:hAnsi="Arial" w:cs="Arial"/>
          <w:sz w:val="24"/>
          <w:szCs w:val="24"/>
        </w:rPr>
        <w:t>, a total of 61 standards were cited</w:t>
      </w:r>
      <w:r>
        <w:rPr>
          <w:rFonts w:ascii="Arial" w:eastAsia="MS Mincho" w:hAnsi="Arial" w:cs="Arial"/>
          <w:sz w:val="24"/>
          <w:szCs w:val="24"/>
        </w:rPr>
        <w:t>,</w:t>
      </w:r>
      <w:r w:rsidR="00CE727F" w:rsidRPr="00CE727F">
        <w:rPr>
          <w:rFonts w:ascii="Arial" w:eastAsia="MS Mincho" w:hAnsi="Arial" w:cs="Arial"/>
          <w:sz w:val="24"/>
          <w:szCs w:val="24"/>
        </w:rPr>
        <w:t xml:space="preserve"> </w:t>
      </w:r>
      <w:r w:rsidR="00106729">
        <w:rPr>
          <w:rFonts w:ascii="Arial" w:eastAsia="MS Mincho" w:hAnsi="Arial" w:cs="Arial"/>
          <w:sz w:val="24"/>
          <w:szCs w:val="24"/>
        </w:rPr>
        <w:t xml:space="preserve">which is </w:t>
      </w:r>
      <w:r w:rsidR="00CE727F" w:rsidRPr="00CE727F">
        <w:rPr>
          <w:rFonts w:ascii="Arial" w:eastAsia="MS Mincho" w:hAnsi="Arial" w:cs="Arial"/>
          <w:sz w:val="24"/>
          <w:szCs w:val="24"/>
        </w:rPr>
        <w:t xml:space="preserve">an average of almost seven per report. Strikingly, these were heavily concentrated in the two cases where the education provider withdrew from the process (10 standards and 14 standards respectively) or where the visitors recommended a visit (10 standards). More than half (34) of all the extra documentation requests were made in these three cases. </w:t>
      </w:r>
    </w:p>
    <w:p w14:paraId="481B05FC" w14:textId="77777777" w:rsidR="00CE727F" w:rsidRPr="00CE727F" w:rsidRDefault="00CE727F" w:rsidP="00CE727F">
      <w:pPr>
        <w:spacing w:after="0" w:line="240" w:lineRule="auto"/>
        <w:rPr>
          <w:rFonts w:ascii="Arial" w:eastAsia="MS Mincho" w:hAnsi="Arial" w:cs="Arial"/>
          <w:sz w:val="24"/>
          <w:szCs w:val="24"/>
        </w:rPr>
      </w:pPr>
    </w:p>
    <w:p w14:paraId="4FC17AF9" w14:textId="18D90D17" w:rsidR="00CE727F" w:rsidRPr="00CE727F" w:rsidRDefault="00CE727F" w:rsidP="00F34EE9">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In the cases where additional documentation was requested</w:t>
      </w:r>
      <w:r w:rsidR="00730E7D">
        <w:rPr>
          <w:rFonts w:ascii="Arial" w:eastAsia="MS Mincho" w:hAnsi="Arial" w:cs="Arial"/>
          <w:sz w:val="24"/>
          <w:szCs w:val="24"/>
        </w:rPr>
        <w:t>, and a final recommendation of</w:t>
      </w:r>
      <w:r w:rsidR="00802533">
        <w:rPr>
          <w:rFonts w:ascii="Arial" w:eastAsia="MS Mincho" w:hAnsi="Arial" w:cs="Arial"/>
          <w:sz w:val="24"/>
          <w:szCs w:val="24"/>
        </w:rPr>
        <w:t xml:space="preserve"> </w:t>
      </w:r>
      <w:r w:rsidRPr="00CE727F">
        <w:rPr>
          <w:rFonts w:ascii="Arial" w:eastAsia="MS Mincho" w:hAnsi="Arial" w:cs="Arial"/>
          <w:sz w:val="24"/>
          <w:szCs w:val="24"/>
        </w:rPr>
        <w:t>approval was made, the average number</w:t>
      </w:r>
      <w:r w:rsidR="00730E7D">
        <w:rPr>
          <w:rFonts w:ascii="Arial" w:eastAsia="MS Mincho" w:hAnsi="Arial" w:cs="Arial"/>
          <w:sz w:val="24"/>
          <w:szCs w:val="24"/>
        </w:rPr>
        <w:t xml:space="preserve"> of standards in respect to which</w:t>
      </w:r>
      <w:r w:rsidRPr="00CE727F">
        <w:rPr>
          <w:rFonts w:ascii="Arial" w:eastAsia="MS Mincho" w:hAnsi="Arial" w:cs="Arial"/>
          <w:sz w:val="24"/>
          <w:szCs w:val="24"/>
        </w:rPr>
        <w:t xml:space="preserve"> further evidence was requested was between four and five. 27 standards were cited across six reports, although more than half of these (14) appeared in one single report.     </w:t>
      </w:r>
    </w:p>
    <w:p w14:paraId="4C9787E9"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6C45CD3C" w14:textId="5761182E" w:rsidR="00CE727F" w:rsidRPr="00CE727F" w:rsidRDefault="00CE727F" w:rsidP="00F34EE9">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The average number of additional documentation requests in the previous year, 2018-19 was seven, or four if you remove one education provider whose programmes received a particular large number of requests. This suggests that the assessment</w:t>
      </w:r>
      <w:r w:rsidR="00543AC8">
        <w:rPr>
          <w:rFonts w:ascii="Arial" w:eastAsia="MS Mincho" w:hAnsi="Arial" w:cs="Arial"/>
          <w:sz w:val="24"/>
          <w:szCs w:val="24"/>
        </w:rPr>
        <w:t xml:space="preserve"> of apprenticeships through major change</w:t>
      </w:r>
      <w:r w:rsidRPr="00CE727F">
        <w:rPr>
          <w:rFonts w:ascii="Arial" w:eastAsia="MS Mincho" w:hAnsi="Arial" w:cs="Arial"/>
          <w:sz w:val="24"/>
          <w:szCs w:val="24"/>
        </w:rPr>
        <w:t xml:space="preserve"> is </w:t>
      </w:r>
      <w:r w:rsidRPr="00CE727F">
        <w:rPr>
          <w:rFonts w:ascii="Arial" w:eastAsia="MS Mincho" w:hAnsi="Arial" w:cs="Arial"/>
          <w:sz w:val="24"/>
          <w:szCs w:val="24"/>
        </w:rPr>
        <w:lastRenderedPageBreak/>
        <w:t>largely stable across time, and that there are not significant disparities in assessment across different visitors</w:t>
      </w:r>
      <w:r w:rsidR="008168C7">
        <w:rPr>
          <w:rFonts w:ascii="Arial" w:eastAsia="MS Mincho" w:hAnsi="Arial" w:cs="Arial"/>
          <w:sz w:val="24"/>
          <w:szCs w:val="24"/>
        </w:rPr>
        <w:t>,</w:t>
      </w:r>
      <w:r w:rsidRPr="00CE727F">
        <w:rPr>
          <w:rFonts w:ascii="Arial" w:eastAsia="MS Mincho" w:hAnsi="Arial" w:cs="Arial"/>
          <w:sz w:val="24"/>
          <w:szCs w:val="24"/>
        </w:rPr>
        <w:t xml:space="preserve"> Education Officers or institutions.    </w:t>
      </w:r>
    </w:p>
    <w:p w14:paraId="6DE5C2F0" w14:textId="6449081A" w:rsidR="00CE727F" w:rsidRPr="00CE727F" w:rsidRDefault="00CE727F" w:rsidP="00CE727F">
      <w:pPr>
        <w:spacing w:after="0" w:line="240" w:lineRule="auto"/>
        <w:rPr>
          <w:rFonts w:ascii="Arial" w:eastAsia="MS Mincho" w:hAnsi="Arial" w:cs="Arial"/>
          <w:sz w:val="24"/>
          <w:szCs w:val="24"/>
        </w:rPr>
      </w:pPr>
    </w:p>
    <w:p w14:paraId="255D46BB" w14:textId="0D788084" w:rsidR="00EC70B2" w:rsidRDefault="00CE727F" w:rsidP="00F34EE9">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Twelve cases in total went through the full major change process. Of these seven (58 per cent) required additional documentation. This is broadly equivalent to the figure for 2018-19 (53 per cent) and rather higher than 2017-1</w:t>
      </w:r>
      <w:r w:rsidR="0081701F">
        <w:rPr>
          <w:rFonts w:ascii="Arial" w:eastAsia="MS Mincho" w:hAnsi="Arial" w:cs="Arial"/>
          <w:sz w:val="24"/>
          <w:szCs w:val="24"/>
        </w:rPr>
        <w:t>8 (40 per cent)</w:t>
      </w:r>
      <w:r w:rsidRPr="00CE727F">
        <w:rPr>
          <w:rFonts w:ascii="Arial" w:eastAsia="MS Mincho" w:hAnsi="Arial" w:cs="Arial"/>
          <w:sz w:val="24"/>
          <w:szCs w:val="24"/>
        </w:rPr>
        <w:t>.</w:t>
      </w:r>
      <w:r w:rsidR="00045767">
        <w:rPr>
          <w:rFonts w:ascii="Arial" w:eastAsia="MS Mincho" w:hAnsi="Arial" w:cs="Arial"/>
          <w:sz w:val="24"/>
          <w:szCs w:val="24"/>
        </w:rPr>
        <w:t xml:space="preserve"> There is</w:t>
      </w:r>
      <w:r w:rsidR="00DA10BE">
        <w:rPr>
          <w:rFonts w:ascii="Arial" w:eastAsia="MS Mincho" w:hAnsi="Arial" w:cs="Arial"/>
          <w:sz w:val="24"/>
          <w:szCs w:val="24"/>
        </w:rPr>
        <w:t xml:space="preserve"> a noticeable upward trend here – especially if we include all cases where additional documents were requested rather than just cases reaching the visitor recommendation stage (the figure for all cases is 64 per cent, i.e. nine out of 14 cases, see the table above). I</w:t>
      </w:r>
      <w:r w:rsidR="00045767">
        <w:rPr>
          <w:rFonts w:ascii="Arial" w:eastAsia="MS Mincho" w:hAnsi="Arial" w:cs="Arial"/>
          <w:sz w:val="24"/>
          <w:szCs w:val="24"/>
        </w:rPr>
        <w:t>t should be viewed in the context of the steep decline in the number of apprenticeship requests made through major change being referred to the approval process at th</w:t>
      </w:r>
      <w:r w:rsidR="00543AC8">
        <w:rPr>
          <w:rFonts w:ascii="Arial" w:eastAsia="MS Mincho" w:hAnsi="Arial" w:cs="Arial"/>
          <w:sz w:val="24"/>
          <w:szCs w:val="24"/>
        </w:rPr>
        <w:t>e initial stage (see p</w:t>
      </w:r>
      <w:r w:rsidR="00DA10BE">
        <w:rPr>
          <w:rFonts w:ascii="Arial" w:eastAsia="MS Mincho" w:hAnsi="Arial" w:cs="Arial"/>
          <w:sz w:val="24"/>
          <w:szCs w:val="24"/>
        </w:rPr>
        <w:t>aragraphs 8 above, and 15 below</w:t>
      </w:r>
      <w:bookmarkStart w:id="0" w:name="_GoBack"/>
      <w:bookmarkEnd w:id="0"/>
      <w:r w:rsidR="00045767">
        <w:rPr>
          <w:rFonts w:ascii="Arial" w:eastAsia="MS Mincho" w:hAnsi="Arial" w:cs="Arial"/>
          <w:sz w:val="24"/>
          <w:szCs w:val="24"/>
        </w:rPr>
        <w:t xml:space="preserve">). </w:t>
      </w:r>
    </w:p>
    <w:p w14:paraId="0CC4F67F" w14:textId="77777777" w:rsidR="00EC70B2" w:rsidRDefault="00EC70B2" w:rsidP="00F3026D">
      <w:pPr>
        <w:pStyle w:val="ListParagraph"/>
        <w:rPr>
          <w:rFonts w:ascii="Arial" w:eastAsia="MS Mincho" w:hAnsi="Arial" w:cs="Arial"/>
          <w:sz w:val="24"/>
          <w:szCs w:val="24"/>
        </w:rPr>
      </w:pPr>
    </w:p>
    <w:p w14:paraId="64A843AE"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26396698" w14:textId="66236CCA" w:rsidR="00CE727F" w:rsidRPr="00CE727F" w:rsidRDefault="008168C7" w:rsidP="00CE727F">
      <w:pPr>
        <w:spacing w:after="0" w:line="240" w:lineRule="auto"/>
        <w:jc w:val="center"/>
        <w:rPr>
          <w:rFonts w:ascii="Arial" w:eastAsia="MS Mincho" w:hAnsi="Arial" w:cs="Arial"/>
          <w:sz w:val="24"/>
          <w:szCs w:val="24"/>
        </w:rPr>
      </w:pPr>
      <w:r>
        <w:rPr>
          <w:rFonts w:ascii="Arial" w:eastAsia="MS Mincho" w:hAnsi="Arial" w:cs="Arial"/>
          <w:sz w:val="24"/>
          <w:szCs w:val="24"/>
        </w:rPr>
        <w:t xml:space="preserve">      </w:t>
      </w:r>
      <w:r w:rsidR="00CE727F" w:rsidRPr="00CE727F">
        <w:rPr>
          <w:rFonts w:ascii="Arial" w:eastAsia="MS Mincho" w:hAnsi="Arial" w:cs="Arial"/>
          <w:noProof/>
          <w:sz w:val="24"/>
          <w:szCs w:val="24"/>
          <w:lang w:eastAsia="en-GB"/>
        </w:rPr>
        <w:drawing>
          <wp:inline distT="0" distB="0" distL="0" distR="0" wp14:anchorId="7C9D741F" wp14:editId="1FB2B262">
            <wp:extent cx="5008419" cy="2452255"/>
            <wp:effectExtent l="0" t="0" r="1905"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EDBFC6" w14:textId="4080DFBD" w:rsidR="00C83B41" w:rsidRPr="00CE727F" w:rsidRDefault="00C83B41" w:rsidP="00CE727F">
      <w:pPr>
        <w:spacing w:after="0" w:line="240" w:lineRule="auto"/>
        <w:rPr>
          <w:rFonts w:ascii="Arial" w:eastAsia="MS Mincho" w:hAnsi="Arial" w:cs="Arial"/>
          <w:sz w:val="24"/>
          <w:szCs w:val="24"/>
        </w:rPr>
      </w:pPr>
    </w:p>
    <w:p w14:paraId="3CDCB133" w14:textId="53F7DD7D" w:rsidR="00543AC8" w:rsidRPr="00543AC8" w:rsidRDefault="00543AC8" w:rsidP="00F34EE9">
      <w:pPr>
        <w:pStyle w:val="ListParagraph"/>
        <w:numPr>
          <w:ilvl w:val="0"/>
          <w:numId w:val="18"/>
        </w:numPr>
        <w:rPr>
          <w:rFonts w:ascii="Arial" w:eastAsia="MS Mincho" w:hAnsi="Arial" w:cs="Arial"/>
          <w:sz w:val="24"/>
          <w:szCs w:val="24"/>
        </w:rPr>
      </w:pPr>
      <w:r w:rsidRPr="00543AC8">
        <w:rPr>
          <w:rFonts w:ascii="Arial" w:eastAsia="MS Mincho" w:hAnsi="Arial" w:cs="Arial"/>
          <w:sz w:val="24"/>
          <w:szCs w:val="24"/>
        </w:rPr>
        <w:t>It would appear that the Executive is considering more apprenticeship programmes through the major change process, and so handling more complex work. The available data suggests that we are able to handle this work through the documentary process. This is shown by the fact that only one of the major change apprenticeship cases ended in the visitors recommending an approval visit. This supports the policy decision to use the major change process to review most apprenticeship requests, as a way of balancing the need for appropriate risk-based scrutiny with the need for proportionate and cost-effective regulation (see paragraph</w:t>
      </w:r>
      <w:r>
        <w:rPr>
          <w:rFonts w:ascii="Arial" w:eastAsia="MS Mincho" w:hAnsi="Arial" w:cs="Arial"/>
          <w:sz w:val="24"/>
          <w:szCs w:val="24"/>
        </w:rPr>
        <w:t>s</w:t>
      </w:r>
      <w:r w:rsidRPr="00543AC8">
        <w:rPr>
          <w:rFonts w:ascii="Arial" w:eastAsia="MS Mincho" w:hAnsi="Arial" w:cs="Arial"/>
          <w:sz w:val="24"/>
          <w:szCs w:val="24"/>
        </w:rPr>
        <w:t xml:space="preserve"> 2</w:t>
      </w:r>
      <w:r>
        <w:rPr>
          <w:rFonts w:ascii="Arial" w:eastAsia="MS Mincho" w:hAnsi="Arial" w:cs="Arial"/>
          <w:sz w:val="24"/>
          <w:szCs w:val="24"/>
        </w:rPr>
        <w:t>-4</w:t>
      </w:r>
      <w:r w:rsidRPr="00543AC8">
        <w:rPr>
          <w:rFonts w:ascii="Arial" w:eastAsia="MS Mincho" w:hAnsi="Arial" w:cs="Arial"/>
          <w:sz w:val="24"/>
          <w:szCs w:val="24"/>
        </w:rPr>
        <w:t xml:space="preserve"> above).    </w:t>
      </w:r>
    </w:p>
    <w:p w14:paraId="6E741DD7" w14:textId="77777777" w:rsidR="00543AC8" w:rsidRDefault="00543AC8" w:rsidP="00543AC8">
      <w:pPr>
        <w:spacing w:after="0" w:line="240" w:lineRule="auto"/>
        <w:ind w:left="786"/>
        <w:contextualSpacing/>
        <w:rPr>
          <w:rFonts w:ascii="Arial" w:eastAsia="MS Mincho" w:hAnsi="Arial" w:cs="Arial"/>
          <w:sz w:val="24"/>
          <w:szCs w:val="24"/>
        </w:rPr>
      </w:pPr>
    </w:p>
    <w:p w14:paraId="3B8843AD" w14:textId="08743DD1" w:rsidR="00CE727F" w:rsidRPr="00CE727F" w:rsidRDefault="00CE727F" w:rsidP="00F34EE9">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Previous years’ apprenticeship reports have stressed the need to give clear guidance about the evidence required as part of a degree apprenticeship submission. Given the continuing high number of cases in which additional documentation is requested, it may be that we need to review this information and </w:t>
      </w:r>
      <w:r w:rsidR="008168C7">
        <w:rPr>
          <w:rFonts w:ascii="Arial" w:eastAsia="MS Mincho" w:hAnsi="Arial" w:cs="Arial"/>
          <w:sz w:val="24"/>
          <w:szCs w:val="24"/>
        </w:rPr>
        <w:t>provide</w:t>
      </w:r>
      <w:r w:rsidRPr="00CE727F">
        <w:rPr>
          <w:rFonts w:ascii="Arial" w:eastAsia="MS Mincho" w:hAnsi="Arial" w:cs="Arial"/>
          <w:sz w:val="24"/>
          <w:szCs w:val="24"/>
        </w:rPr>
        <w:t xml:space="preserve"> more explicit guidance on how we expect education providers to demonstrate that their apprenticeship programmes will meet the standards. </w:t>
      </w:r>
    </w:p>
    <w:p w14:paraId="75992554"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0F3A046D" w14:textId="61EA40B8" w:rsidR="00CE727F" w:rsidRPr="00CE727F" w:rsidRDefault="00561487" w:rsidP="00F34EE9">
      <w:pPr>
        <w:numPr>
          <w:ilvl w:val="0"/>
          <w:numId w:val="18"/>
        </w:numPr>
        <w:spacing w:after="0" w:line="240" w:lineRule="auto"/>
        <w:contextualSpacing/>
        <w:rPr>
          <w:rFonts w:ascii="Arial" w:eastAsia="MS Mincho" w:hAnsi="Arial" w:cs="Arial"/>
          <w:sz w:val="24"/>
          <w:szCs w:val="24"/>
        </w:rPr>
      </w:pPr>
      <w:r>
        <w:rPr>
          <w:rFonts w:ascii="Arial" w:eastAsia="MS Mincho" w:hAnsi="Arial" w:cs="Arial"/>
          <w:sz w:val="24"/>
          <w:szCs w:val="24"/>
        </w:rPr>
        <w:t>I</w:t>
      </w:r>
      <w:r w:rsidR="00CE727F" w:rsidRPr="00CE727F">
        <w:rPr>
          <w:rFonts w:ascii="Arial" w:eastAsia="MS Mincho" w:hAnsi="Arial" w:cs="Arial"/>
          <w:sz w:val="24"/>
          <w:szCs w:val="24"/>
        </w:rPr>
        <w:t>t is not necessarily problematic for degree apprenticeship programme</w:t>
      </w:r>
      <w:r w:rsidR="00981A0C">
        <w:rPr>
          <w:rFonts w:ascii="Arial" w:eastAsia="MS Mincho" w:hAnsi="Arial" w:cs="Arial"/>
          <w:sz w:val="24"/>
          <w:szCs w:val="24"/>
        </w:rPr>
        <w:t>s</w:t>
      </w:r>
      <w:r w:rsidR="00CE727F" w:rsidRPr="00CE727F">
        <w:rPr>
          <w:rFonts w:ascii="Arial" w:eastAsia="MS Mincho" w:hAnsi="Arial" w:cs="Arial"/>
          <w:sz w:val="24"/>
          <w:szCs w:val="24"/>
        </w:rPr>
        <w:t xml:space="preserve"> going through the major change process to be more complex on average than standard major changes</w:t>
      </w:r>
      <w:r>
        <w:rPr>
          <w:rFonts w:ascii="Arial" w:eastAsia="MS Mincho" w:hAnsi="Arial" w:cs="Arial"/>
          <w:sz w:val="24"/>
          <w:szCs w:val="24"/>
        </w:rPr>
        <w:t>. However</w:t>
      </w:r>
      <w:r w:rsidR="00CE727F" w:rsidRPr="00CE727F">
        <w:rPr>
          <w:rFonts w:ascii="Arial" w:eastAsia="MS Mincho" w:hAnsi="Arial" w:cs="Arial"/>
          <w:sz w:val="24"/>
          <w:szCs w:val="24"/>
        </w:rPr>
        <w:t xml:space="preserve">, it would be useful for both the HCPC and </w:t>
      </w:r>
      <w:r w:rsidR="00CE727F" w:rsidRPr="00CE727F">
        <w:rPr>
          <w:rFonts w:ascii="Arial" w:eastAsia="MS Mincho" w:hAnsi="Arial" w:cs="Arial"/>
          <w:sz w:val="24"/>
          <w:szCs w:val="24"/>
        </w:rPr>
        <w:lastRenderedPageBreak/>
        <w:t xml:space="preserve">all stakeholders if there were ways of reducing the number of cases where we require additional documentation.  </w:t>
      </w:r>
    </w:p>
    <w:p w14:paraId="3FC87548"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085F931F" w14:textId="77777777" w:rsidR="008168C7" w:rsidRDefault="00CE727F" w:rsidP="00F34EE9">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In</w:t>
      </w:r>
      <w:r w:rsidR="007D76E3">
        <w:rPr>
          <w:rFonts w:ascii="Arial" w:eastAsia="MS Mincho" w:hAnsi="Arial" w:cs="Arial"/>
          <w:sz w:val="24"/>
          <w:szCs w:val="24"/>
        </w:rPr>
        <w:t xml:space="preserve"> general, looking at the </w:t>
      </w:r>
      <w:r w:rsidRPr="00CE727F">
        <w:rPr>
          <w:rFonts w:ascii="Arial" w:eastAsia="MS Mincho" w:hAnsi="Arial" w:cs="Arial"/>
          <w:sz w:val="24"/>
          <w:szCs w:val="24"/>
        </w:rPr>
        <w:t>processes by which we assess apprenticeships through major change, there do</w:t>
      </w:r>
      <w:r w:rsidR="00450713">
        <w:rPr>
          <w:rFonts w:ascii="Arial" w:eastAsia="MS Mincho" w:hAnsi="Arial" w:cs="Arial"/>
          <w:sz w:val="24"/>
          <w:szCs w:val="24"/>
        </w:rPr>
        <w:t xml:space="preserve"> not appear to be major issues. </w:t>
      </w:r>
      <w:r w:rsidR="00450713" w:rsidRPr="008168C7">
        <w:rPr>
          <w:rFonts w:ascii="Arial" w:eastAsia="MS Mincho" w:hAnsi="Arial" w:cs="Arial"/>
          <w:sz w:val="24"/>
          <w:szCs w:val="24"/>
        </w:rPr>
        <w:t xml:space="preserve">Visitors in non-apprenticeship major changes are much less likely to request additional documents (41 per cent of all major changes required additional documents in 2019-20). </w:t>
      </w:r>
    </w:p>
    <w:p w14:paraId="51497974" w14:textId="77777777" w:rsidR="008168C7" w:rsidRDefault="008168C7" w:rsidP="008168C7">
      <w:pPr>
        <w:pStyle w:val="ListParagraph"/>
        <w:rPr>
          <w:rFonts w:ascii="Arial" w:eastAsia="MS Mincho" w:hAnsi="Arial" w:cs="Arial"/>
          <w:sz w:val="24"/>
          <w:szCs w:val="24"/>
        </w:rPr>
      </w:pPr>
    </w:p>
    <w:p w14:paraId="08482107" w14:textId="1FD14287" w:rsidR="00CE727F" w:rsidRPr="008168C7" w:rsidRDefault="00450713" w:rsidP="00F34EE9">
      <w:pPr>
        <w:numPr>
          <w:ilvl w:val="0"/>
          <w:numId w:val="18"/>
        </w:numPr>
        <w:spacing w:after="0" w:line="240" w:lineRule="auto"/>
        <w:contextualSpacing/>
        <w:rPr>
          <w:rFonts w:ascii="Arial" w:eastAsia="MS Mincho" w:hAnsi="Arial" w:cs="Arial"/>
          <w:sz w:val="24"/>
          <w:szCs w:val="24"/>
        </w:rPr>
      </w:pPr>
      <w:r w:rsidRPr="008168C7">
        <w:rPr>
          <w:rFonts w:ascii="Arial" w:eastAsia="MS Mincho" w:hAnsi="Arial" w:cs="Arial"/>
          <w:sz w:val="24"/>
          <w:szCs w:val="24"/>
        </w:rPr>
        <w:t>However, d</w:t>
      </w:r>
      <w:r w:rsidR="00CE727F" w:rsidRPr="008168C7">
        <w:rPr>
          <w:rFonts w:ascii="Arial" w:eastAsia="MS Mincho" w:hAnsi="Arial" w:cs="Arial"/>
          <w:sz w:val="24"/>
          <w:szCs w:val="24"/>
        </w:rPr>
        <w:t xml:space="preserve">egree apprenticeship major changes </w:t>
      </w:r>
      <w:r w:rsidR="00CC62D9" w:rsidRPr="008168C7">
        <w:rPr>
          <w:rFonts w:ascii="Arial" w:eastAsia="MS Mincho" w:hAnsi="Arial" w:cs="Arial"/>
          <w:sz w:val="24"/>
          <w:szCs w:val="24"/>
        </w:rPr>
        <w:t>take less time to reach</w:t>
      </w:r>
      <w:r w:rsidR="008168C7">
        <w:rPr>
          <w:rFonts w:ascii="Arial" w:eastAsia="MS Mincho" w:hAnsi="Arial" w:cs="Arial"/>
          <w:sz w:val="24"/>
          <w:szCs w:val="24"/>
        </w:rPr>
        <w:t xml:space="preserve"> a</w:t>
      </w:r>
      <w:r w:rsidR="00CC62D9" w:rsidRPr="008168C7">
        <w:rPr>
          <w:rFonts w:ascii="Arial" w:eastAsia="MS Mincho" w:hAnsi="Arial" w:cs="Arial"/>
          <w:sz w:val="24"/>
          <w:szCs w:val="24"/>
        </w:rPr>
        <w:t xml:space="preserve"> final recommendation than non-apprenticeship major changes</w:t>
      </w:r>
      <w:r w:rsidR="00CE727F" w:rsidRPr="008168C7">
        <w:rPr>
          <w:rFonts w:ascii="Arial" w:eastAsia="MS Mincho" w:hAnsi="Arial" w:cs="Arial"/>
          <w:sz w:val="24"/>
          <w:szCs w:val="24"/>
        </w:rPr>
        <w:t>.</w:t>
      </w:r>
      <w:r w:rsidR="007D76E3" w:rsidRPr="008168C7">
        <w:rPr>
          <w:rFonts w:ascii="Arial" w:eastAsia="MS Mincho" w:hAnsi="Arial" w:cs="Arial"/>
          <w:sz w:val="24"/>
          <w:szCs w:val="24"/>
        </w:rPr>
        <w:t xml:space="preserve"> During 2020 the median time taken to reach a recommendation in</w:t>
      </w:r>
      <w:r w:rsidRPr="008168C7">
        <w:rPr>
          <w:rFonts w:ascii="Arial" w:eastAsia="MS Mincho" w:hAnsi="Arial" w:cs="Arial"/>
          <w:sz w:val="24"/>
          <w:szCs w:val="24"/>
        </w:rPr>
        <w:t xml:space="preserve"> all</w:t>
      </w:r>
      <w:r w:rsidR="007D76E3" w:rsidRPr="008168C7">
        <w:rPr>
          <w:rFonts w:ascii="Arial" w:eastAsia="MS Mincho" w:hAnsi="Arial" w:cs="Arial"/>
          <w:sz w:val="24"/>
          <w:szCs w:val="24"/>
        </w:rPr>
        <w:t xml:space="preserve"> major change cases was 2.8 months.</w:t>
      </w:r>
      <w:r w:rsidR="0031140D" w:rsidRPr="008168C7">
        <w:rPr>
          <w:rFonts w:ascii="Arial" w:eastAsia="MS Mincho" w:hAnsi="Arial" w:cs="Arial"/>
          <w:sz w:val="24"/>
          <w:szCs w:val="24"/>
        </w:rPr>
        <w:t xml:space="preserve"> For </w:t>
      </w:r>
      <w:r w:rsidRPr="008168C7">
        <w:rPr>
          <w:rFonts w:ascii="Arial" w:eastAsia="MS Mincho" w:hAnsi="Arial" w:cs="Arial"/>
          <w:sz w:val="24"/>
          <w:szCs w:val="24"/>
        </w:rPr>
        <w:t xml:space="preserve">major change </w:t>
      </w:r>
      <w:r w:rsidR="0031140D" w:rsidRPr="008168C7">
        <w:rPr>
          <w:rFonts w:ascii="Arial" w:eastAsia="MS Mincho" w:hAnsi="Arial" w:cs="Arial"/>
          <w:sz w:val="24"/>
          <w:szCs w:val="24"/>
        </w:rPr>
        <w:t>apprenticeships the median time to reach a recommendation was 2.1 months. The mean average</w:t>
      </w:r>
      <w:r w:rsidR="005F6F5F" w:rsidRPr="008168C7">
        <w:rPr>
          <w:rFonts w:ascii="Arial" w:eastAsia="MS Mincho" w:hAnsi="Arial" w:cs="Arial"/>
          <w:sz w:val="24"/>
          <w:szCs w:val="24"/>
        </w:rPr>
        <w:t xml:space="preserve"> for apprenticeship cases</w:t>
      </w:r>
      <w:r w:rsidR="0031140D" w:rsidRPr="008168C7">
        <w:rPr>
          <w:rFonts w:ascii="Arial" w:eastAsia="MS Mincho" w:hAnsi="Arial" w:cs="Arial"/>
          <w:sz w:val="24"/>
          <w:szCs w:val="24"/>
        </w:rPr>
        <w:t xml:space="preserve"> was a little higher </w:t>
      </w:r>
      <w:r w:rsidR="008168C7">
        <w:rPr>
          <w:rFonts w:ascii="Arial" w:eastAsia="MS Mincho" w:hAnsi="Arial" w:cs="Arial"/>
          <w:sz w:val="24"/>
          <w:szCs w:val="24"/>
        </w:rPr>
        <w:t>(</w:t>
      </w:r>
      <w:r w:rsidR="0031140D" w:rsidRPr="008168C7">
        <w:rPr>
          <w:rFonts w:ascii="Arial" w:eastAsia="MS Mincho" w:hAnsi="Arial" w:cs="Arial"/>
          <w:sz w:val="24"/>
          <w:szCs w:val="24"/>
        </w:rPr>
        <w:t>2.7 months</w:t>
      </w:r>
      <w:r w:rsidR="008168C7">
        <w:rPr>
          <w:rFonts w:ascii="Arial" w:eastAsia="MS Mincho" w:hAnsi="Arial" w:cs="Arial"/>
          <w:sz w:val="24"/>
          <w:szCs w:val="24"/>
        </w:rPr>
        <w:t xml:space="preserve">) </w:t>
      </w:r>
      <w:r w:rsidR="0031140D" w:rsidRPr="008168C7">
        <w:rPr>
          <w:rFonts w:ascii="Arial" w:eastAsia="MS Mincho" w:hAnsi="Arial" w:cs="Arial"/>
          <w:sz w:val="24"/>
          <w:szCs w:val="24"/>
        </w:rPr>
        <w:t xml:space="preserve">due to a number of cases that took significantly longer than the 3 month </w:t>
      </w:r>
      <w:r w:rsidR="008168C7">
        <w:rPr>
          <w:rFonts w:ascii="Arial" w:eastAsia="MS Mincho" w:hAnsi="Arial" w:cs="Arial"/>
          <w:sz w:val="24"/>
          <w:szCs w:val="24"/>
        </w:rPr>
        <w:t>key performance indicator</w:t>
      </w:r>
      <w:r w:rsidR="0031140D" w:rsidRPr="008168C7">
        <w:rPr>
          <w:rFonts w:ascii="Arial" w:eastAsia="MS Mincho" w:hAnsi="Arial" w:cs="Arial"/>
          <w:sz w:val="24"/>
          <w:szCs w:val="24"/>
        </w:rPr>
        <w:t xml:space="preserve">. Regarding </w:t>
      </w:r>
      <w:r w:rsidR="002F4ABD" w:rsidRPr="008168C7">
        <w:rPr>
          <w:rFonts w:ascii="Arial" w:eastAsia="MS Mincho" w:hAnsi="Arial" w:cs="Arial"/>
          <w:sz w:val="24"/>
          <w:szCs w:val="24"/>
        </w:rPr>
        <w:t xml:space="preserve">comparisons with </w:t>
      </w:r>
      <w:r w:rsidR="0031140D" w:rsidRPr="008168C7">
        <w:rPr>
          <w:rFonts w:ascii="Arial" w:eastAsia="MS Mincho" w:hAnsi="Arial" w:cs="Arial"/>
          <w:sz w:val="24"/>
          <w:szCs w:val="24"/>
        </w:rPr>
        <w:t xml:space="preserve">apprenticeship cases in previous years, the report for 2018-19 did not capture this detail.  </w:t>
      </w:r>
      <w:r w:rsidR="007D76E3" w:rsidRPr="008168C7">
        <w:rPr>
          <w:rFonts w:ascii="Arial" w:eastAsia="MS Mincho" w:hAnsi="Arial" w:cs="Arial"/>
          <w:sz w:val="24"/>
          <w:szCs w:val="24"/>
        </w:rPr>
        <w:t xml:space="preserve">  </w:t>
      </w:r>
    </w:p>
    <w:p w14:paraId="5227C329" w14:textId="77777777" w:rsidR="00CE727F" w:rsidRPr="00CE727F" w:rsidRDefault="00CE727F" w:rsidP="00CE727F">
      <w:pPr>
        <w:spacing w:after="0" w:line="240" w:lineRule="auto"/>
        <w:rPr>
          <w:rFonts w:ascii="Arial" w:eastAsia="MS Mincho" w:hAnsi="Arial" w:cs="Arial"/>
          <w:sz w:val="24"/>
          <w:szCs w:val="24"/>
        </w:rPr>
      </w:pPr>
    </w:p>
    <w:p w14:paraId="5A76EFE2" w14:textId="77777777" w:rsidR="00CE727F" w:rsidRPr="00CE727F" w:rsidRDefault="00CE727F" w:rsidP="00CE727F">
      <w:pPr>
        <w:spacing w:after="0" w:line="240" w:lineRule="auto"/>
        <w:rPr>
          <w:rFonts w:ascii="Arial" w:eastAsia="MS Mincho" w:hAnsi="Arial" w:cs="Arial"/>
          <w:b/>
          <w:sz w:val="24"/>
          <w:szCs w:val="24"/>
        </w:rPr>
      </w:pPr>
      <w:r w:rsidRPr="00CE727F">
        <w:rPr>
          <w:rFonts w:ascii="Arial" w:eastAsia="MS Mincho" w:hAnsi="Arial" w:cs="Arial"/>
          <w:b/>
          <w:sz w:val="24"/>
          <w:szCs w:val="24"/>
        </w:rPr>
        <w:t>Approval process</w:t>
      </w:r>
    </w:p>
    <w:p w14:paraId="1FDD91D6" w14:textId="77777777" w:rsidR="00CE727F" w:rsidRPr="00CE727F" w:rsidRDefault="00CE727F" w:rsidP="00CE727F">
      <w:pPr>
        <w:spacing w:after="0" w:line="240" w:lineRule="auto"/>
        <w:rPr>
          <w:rFonts w:ascii="Arial" w:eastAsia="MS Mincho" w:hAnsi="Arial" w:cs="Arial"/>
          <w:sz w:val="24"/>
          <w:szCs w:val="24"/>
        </w:rPr>
      </w:pPr>
    </w:p>
    <w:p w14:paraId="12308554" w14:textId="33D42BBD" w:rsidR="00CE727F" w:rsidRPr="00CE727F" w:rsidRDefault="00CE727F" w:rsidP="00F34EE9">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2019-20 saw a </w:t>
      </w:r>
      <w:r w:rsidR="008168C7">
        <w:rPr>
          <w:rFonts w:ascii="Arial" w:eastAsia="MS Mincho" w:hAnsi="Arial" w:cs="Arial"/>
          <w:sz w:val="24"/>
          <w:szCs w:val="24"/>
        </w:rPr>
        <w:t xml:space="preserve">significant </w:t>
      </w:r>
      <w:r w:rsidRPr="00CE727F">
        <w:rPr>
          <w:rFonts w:ascii="Arial" w:eastAsia="MS Mincho" w:hAnsi="Arial" w:cs="Arial"/>
          <w:sz w:val="24"/>
          <w:szCs w:val="24"/>
        </w:rPr>
        <w:t xml:space="preserve">reduction in approval visits to apprenticeship programmes. Seven approval visits took place to degree apprenticeship programmes (one was due to take place but was cancelled at the education provider’s request). This compares with 26 in 2018-19 and 30 in 2017-18. </w:t>
      </w:r>
    </w:p>
    <w:p w14:paraId="6A779F09"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0A1D0CF7" w14:textId="77777777" w:rsidR="00CE727F" w:rsidRPr="00CE727F" w:rsidRDefault="00CE727F" w:rsidP="00CE727F">
      <w:pPr>
        <w:spacing w:after="0" w:line="240" w:lineRule="auto"/>
        <w:ind w:left="720"/>
        <w:contextualSpacing/>
        <w:jc w:val="center"/>
        <w:rPr>
          <w:rFonts w:ascii="Arial" w:eastAsia="MS Mincho" w:hAnsi="Arial" w:cs="Arial"/>
          <w:sz w:val="24"/>
          <w:szCs w:val="24"/>
        </w:rPr>
      </w:pPr>
      <w:r w:rsidRPr="00CE727F">
        <w:rPr>
          <w:rFonts w:ascii="Arial" w:eastAsia="MS Mincho" w:hAnsi="Arial" w:cs="Arial"/>
          <w:noProof/>
          <w:sz w:val="24"/>
          <w:szCs w:val="24"/>
          <w:lang w:eastAsia="en-GB"/>
        </w:rPr>
        <w:drawing>
          <wp:inline distT="0" distB="0" distL="0" distR="0" wp14:anchorId="3007BA77" wp14:editId="3389226D">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871A67"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400377FE" w14:textId="7933C961" w:rsidR="00CE727F" w:rsidRDefault="00CE727F" w:rsidP="00F34EE9">
      <w:pPr>
        <w:numPr>
          <w:ilvl w:val="0"/>
          <w:numId w:val="18"/>
        </w:numPr>
        <w:spacing w:after="0" w:line="240" w:lineRule="auto"/>
        <w:ind w:left="720"/>
        <w:contextualSpacing/>
        <w:rPr>
          <w:rFonts w:ascii="Arial" w:eastAsia="MS Mincho" w:hAnsi="Arial" w:cs="Arial"/>
          <w:sz w:val="24"/>
          <w:szCs w:val="24"/>
        </w:rPr>
      </w:pPr>
      <w:r w:rsidRPr="00524BEF">
        <w:rPr>
          <w:rFonts w:ascii="Arial" w:eastAsia="MS Mincho" w:hAnsi="Arial" w:cs="Arial"/>
          <w:sz w:val="24"/>
          <w:szCs w:val="24"/>
        </w:rPr>
        <w:t xml:space="preserve">This is due to a reduction in the number of cases being referred out of the major change process, which is a continuing trend across all the three years of apprenticeship reviews, but also likely because the HCPC </w:t>
      </w:r>
      <w:r w:rsidR="008168C7" w:rsidRPr="00524BEF">
        <w:rPr>
          <w:rFonts w:ascii="Arial" w:eastAsia="MS Mincho" w:hAnsi="Arial" w:cs="Arial"/>
          <w:sz w:val="24"/>
          <w:szCs w:val="24"/>
        </w:rPr>
        <w:t>no longer regulates</w:t>
      </w:r>
      <w:r w:rsidRPr="00524BEF">
        <w:rPr>
          <w:rFonts w:ascii="Arial" w:eastAsia="MS Mincho" w:hAnsi="Arial" w:cs="Arial"/>
          <w:sz w:val="24"/>
          <w:szCs w:val="24"/>
        </w:rPr>
        <w:t xml:space="preserve"> </w:t>
      </w:r>
      <w:r w:rsidR="00981A0C" w:rsidRPr="00524BEF">
        <w:rPr>
          <w:rFonts w:ascii="Arial" w:eastAsia="MS Mincho" w:hAnsi="Arial" w:cs="Arial"/>
          <w:sz w:val="24"/>
          <w:szCs w:val="24"/>
        </w:rPr>
        <w:t>S</w:t>
      </w:r>
      <w:r w:rsidRPr="00524BEF">
        <w:rPr>
          <w:rFonts w:ascii="Arial" w:eastAsia="MS Mincho" w:hAnsi="Arial" w:cs="Arial"/>
          <w:sz w:val="24"/>
          <w:szCs w:val="24"/>
        </w:rPr>
        <w:t xml:space="preserve">ocial workers </w:t>
      </w:r>
      <w:r w:rsidR="008168C7" w:rsidRPr="00524BEF">
        <w:rPr>
          <w:rFonts w:ascii="Arial" w:eastAsia="MS Mincho" w:hAnsi="Arial" w:cs="Arial"/>
          <w:sz w:val="24"/>
          <w:szCs w:val="24"/>
        </w:rPr>
        <w:t>in England</w:t>
      </w:r>
      <w:r w:rsidRPr="00524BEF">
        <w:rPr>
          <w:rFonts w:ascii="Arial" w:eastAsia="MS Mincho" w:hAnsi="Arial" w:cs="Arial"/>
          <w:sz w:val="24"/>
          <w:szCs w:val="24"/>
        </w:rPr>
        <w:t xml:space="preserve">. This would have meant that social work education providers were no longer coming to us to approve their apprenticeships, which had made up a significant part of the apprenticeship approval caseload during 2017-18 and 2018-19. </w:t>
      </w:r>
    </w:p>
    <w:p w14:paraId="23C61365" w14:textId="697B656E" w:rsidR="00CE727F" w:rsidRPr="00CE727F" w:rsidRDefault="00CE727F" w:rsidP="00CC74FD">
      <w:pPr>
        <w:spacing w:after="0" w:line="240" w:lineRule="auto"/>
        <w:contextualSpacing/>
        <w:rPr>
          <w:rFonts w:ascii="Arial" w:eastAsia="MS Mincho" w:hAnsi="Arial" w:cs="Arial"/>
          <w:sz w:val="24"/>
          <w:szCs w:val="24"/>
        </w:rPr>
      </w:pPr>
    </w:p>
    <w:p w14:paraId="00E2C018" w14:textId="77777777" w:rsidR="00CE727F" w:rsidRPr="00CE727F" w:rsidRDefault="00CE727F" w:rsidP="00F34EE9">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The average number of conditions set on these visits was 12 (84 standards across seven visits). However, this figure is significantly affected by two high-condition reports, which had 23 and 20 conditions respectively. The other five cases had an average of only eight conditions each. Visitors </w:t>
      </w:r>
      <w:r w:rsidRPr="00E327C1">
        <w:rPr>
          <w:rFonts w:ascii="Arial" w:eastAsia="MS Mincho" w:hAnsi="Arial" w:cs="Arial"/>
          <w:sz w:val="24"/>
          <w:szCs w:val="24"/>
        </w:rPr>
        <w:t>eventually</w:t>
      </w:r>
      <w:r w:rsidRPr="00CE727F">
        <w:rPr>
          <w:rFonts w:ascii="Arial" w:eastAsia="MS Mincho" w:hAnsi="Arial" w:cs="Arial"/>
          <w:sz w:val="24"/>
          <w:szCs w:val="24"/>
        </w:rPr>
        <w:t xml:space="preserve"> recommended approval in all seven cases, and in four the conditions were met at the first attempt. </w:t>
      </w:r>
    </w:p>
    <w:p w14:paraId="15F00741"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141D7C0E" w14:textId="6B059B9F" w:rsidR="00971EFD" w:rsidRDefault="00561487" w:rsidP="00F34EE9">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T</w:t>
      </w:r>
      <w:r>
        <w:rPr>
          <w:rFonts w:ascii="Arial" w:eastAsia="MS Mincho" w:hAnsi="Arial" w:cs="Arial"/>
          <w:sz w:val="24"/>
          <w:szCs w:val="24"/>
        </w:rPr>
        <w:t>his average number of conditions</w:t>
      </w:r>
      <w:r w:rsidRPr="00CE727F">
        <w:rPr>
          <w:rFonts w:ascii="Arial" w:eastAsia="MS Mincho" w:hAnsi="Arial" w:cs="Arial"/>
          <w:sz w:val="24"/>
          <w:szCs w:val="24"/>
        </w:rPr>
        <w:t xml:space="preserve"> is higher than the average for the previous two years (in 2018-19 the average was 10 and in 2017-18 it was 9). However, as already noted, without the two high-condition reports the averag</w:t>
      </w:r>
      <w:r>
        <w:rPr>
          <w:rFonts w:ascii="Arial" w:eastAsia="MS Mincho" w:hAnsi="Arial" w:cs="Arial"/>
          <w:sz w:val="24"/>
          <w:szCs w:val="24"/>
        </w:rPr>
        <w:t>e was eight, which is lower than the previous years</w:t>
      </w:r>
      <w:r w:rsidRPr="00CE727F">
        <w:rPr>
          <w:rFonts w:ascii="Arial" w:eastAsia="MS Mincho" w:hAnsi="Arial" w:cs="Arial"/>
          <w:sz w:val="24"/>
          <w:szCs w:val="24"/>
        </w:rPr>
        <w:t>.</w:t>
      </w:r>
      <w:r w:rsidR="00217A77">
        <w:rPr>
          <w:rFonts w:ascii="Arial" w:eastAsia="MS Mincho" w:hAnsi="Arial" w:cs="Arial"/>
          <w:sz w:val="24"/>
          <w:szCs w:val="24"/>
        </w:rPr>
        <w:t xml:space="preserve"> It is also comparable with the average for all approval cases in 2019-20, which was slightly below nine. </w:t>
      </w:r>
    </w:p>
    <w:p w14:paraId="42C95748" w14:textId="77777777" w:rsidR="00971EFD" w:rsidRDefault="00971EFD" w:rsidP="00971EFD">
      <w:pPr>
        <w:pStyle w:val="ListParagraph"/>
        <w:rPr>
          <w:rFonts w:ascii="Arial" w:eastAsia="MS Mincho" w:hAnsi="Arial" w:cs="Arial"/>
          <w:sz w:val="24"/>
          <w:szCs w:val="24"/>
        </w:rPr>
      </w:pPr>
    </w:p>
    <w:p w14:paraId="5130139A" w14:textId="70C5D226" w:rsidR="00971EFD" w:rsidRPr="001B4098" w:rsidRDefault="00971EFD" w:rsidP="00F34EE9">
      <w:pPr>
        <w:numPr>
          <w:ilvl w:val="0"/>
          <w:numId w:val="18"/>
        </w:numPr>
        <w:spacing w:after="0" w:line="240" w:lineRule="auto"/>
        <w:contextualSpacing/>
        <w:rPr>
          <w:rFonts w:ascii="Arial" w:eastAsia="MS Mincho" w:hAnsi="Arial" w:cs="Arial"/>
          <w:sz w:val="24"/>
          <w:szCs w:val="24"/>
        </w:rPr>
      </w:pPr>
      <w:r>
        <w:rPr>
          <w:rFonts w:ascii="Arial" w:eastAsia="MS Mincho" w:hAnsi="Arial" w:cs="Arial"/>
          <w:sz w:val="24"/>
          <w:szCs w:val="24"/>
        </w:rPr>
        <w:t>Degree apprenticeship approval cases took somewhat longer on average from visit date to final visitor</w:t>
      </w:r>
      <w:r w:rsidR="00524BEF">
        <w:rPr>
          <w:rFonts w:ascii="Arial" w:eastAsia="MS Mincho" w:hAnsi="Arial" w:cs="Arial"/>
          <w:sz w:val="24"/>
          <w:szCs w:val="24"/>
        </w:rPr>
        <w:t>s’ decision than other approval visits</w:t>
      </w:r>
      <w:r>
        <w:rPr>
          <w:rFonts w:ascii="Arial" w:eastAsia="MS Mincho" w:hAnsi="Arial" w:cs="Arial"/>
          <w:sz w:val="24"/>
          <w:szCs w:val="24"/>
        </w:rPr>
        <w:t>.</w:t>
      </w:r>
      <w:r w:rsidR="00C05029">
        <w:rPr>
          <w:rFonts w:ascii="Arial" w:eastAsia="MS Mincho" w:hAnsi="Arial" w:cs="Arial"/>
          <w:sz w:val="24"/>
          <w:szCs w:val="24"/>
        </w:rPr>
        <w:t xml:space="preserve"> The average</w:t>
      </w:r>
      <w:r>
        <w:rPr>
          <w:rFonts w:ascii="Arial" w:eastAsia="MS Mincho" w:hAnsi="Arial" w:cs="Arial"/>
          <w:sz w:val="24"/>
          <w:szCs w:val="24"/>
        </w:rPr>
        <w:t xml:space="preserve"> for all completed approval visits in 2019-20 was 96 days. Degree apprenticeships took an average of 121 days. T</w:t>
      </w:r>
      <w:r w:rsidR="00EB57A3">
        <w:rPr>
          <w:rFonts w:ascii="Arial" w:eastAsia="MS Mincho" w:hAnsi="Arial" w:cs="Arial"/>
          <w:sz w:val="24"/>
          <w:szCs w:val="24"/>
        </w:rPr>
        <w:t>his difference</w:t>
      </w:r>
      <w:r>
        <w:rPr>
          <w:rFonts w:ascii="Arial" w:eastAsia="MS Mincho" w:hAnsi="Arial" w:cs="Arial"/>
          <w:sz w:val="24"/>
          <w:szCs w:val="24"/>
        </w:rPr>
        <w:t xml:space="preserve"> may reflect additional complexity in degree apprenticeship approvals, although the average is also affected by two exceptionally long cases that each took almost six months</w:t>
      </w:r>
      <w:r w:rsidR="001B4098">
        <w:rPr>
          <w:rFonts w:ascii="Arial" w:eastAsia="MS Mincho" w:hAnsi="Arial" w:cs="Arial"/>
          <w:sz w:val="24"/>
          <w:szCs w:val="24"/>
        </w:rPr>
        <w:t xml:space="preserve">, </w:t>
      </w:r>
      <w:r w:rsidR="00841F4E" w:rsidRPr="001B4098">
        <w:rPr>
          <w:rFonts w:ascii="Arial" w:eastAsia="MS Mincho" w:hAnsi="Arial" w:cs="Arial"/>
          <w:sz w:val="24"/>
          <w:szCs w:val="24"/>
        </w:rPr>
        <w:t xml:space="preserve">including the case involving a revisit </w:t>
      </w:r>
      <w:r w:rsidR="001B4098">
        <w:rPr>
          <w:rFonts w:ascii="Arial" w:eastAsia="MS Mincho" w:hAnsi="Arial" w:cs="Arial"/>
          <w:sz w:val="24"/>
          <w:szCs w:val="24"/>
        </w:rPr>
        <w:t>mentioned in p</w:t>
      </w:r>
      <w:r w:rsidR="00DA10BE">
        <w:rPr>
          <w:rFonts w:ascii="Arial" w:eastAsia="MS Mincho" w:hAnsi="Arial" w:cs="Arial"/>
          <w:sz w:val="24"/>
          <w:szCs w:val="24"/>
        </w:rPr>
        <w:t>aragraph 26</w:t>
      </w:r>
      <w:r w:rsidR="001B4098">
        <w:rPr>
          <w:rFonts w:ascii="Arial" w:eastAsia="MS Mincho" w:hAnsi="Arial" w:cs="Arial"/>
          <w:sz w:val="24"/>
          <w:szCs w:val="24"/>
        </w:rPr>
        <w:t xml:space="preserve"> below</w:t>
      </w:r>
      <w:r w:rsidRPr="001B4098">
        <w:rPr>
          <w:rFonts w:ascii="Arial" w:eastAsia="MS Mincho" w:hAnsi="Arial" w:cs="Arial"/>
          <w:sz w:val="24"/>
          <w:szCs w:val="24"/>
        </w:rPr>
        <w:t xml:space="preserve">. Without those two cases the average is just over 100 days, comparable to the figure for non-apprenticeship approvals. </w:t>
      </w:r>
      <w:r w:rsidR="00524BEF">
        <w:rPr>
          <w:rFonts w:ascii="Arial" w:eastAsia="MS Mincho" w:hAnsi="Arial" w:cs="Arial"/>
          <w:sz w:val="24"/>
          <w:szCs w:val="24"/>
        </w:rPr>
        <w:t>By</w:t>
      </w:r>
      <w:r w:rsidR="00CC74FD">
        <w:rPr>
          <w:rFonts w:ascii="Arial" w:eastAsia="MS Mincho" w:hAnsi="Arial" w:cs="Arial"/>
          <w:sz w:val="24"/>
          <w:szCs w:val="24"/>
        </w:rPr>
        <w:t xml:space="preserve"> the</w:t>
      </w:r>
      <w:r w:rsidR="00524BEF">
        <w:rPr>
          <w:rFonts w:ascii="Arial" w:eastAsia="MS Mincho" w:hAnsi="Arial" w:cs="Arial"/>
          <w:sz w:val="24"/>
          <w:szCs w:val="24"/>
        </w:rPr>
        <w:t xml:space="preserve"> nature of our assessment of a</w:t>
      </w:r>
      <w:r w:rsidRPr="001B4098">
        <w:rPr>
          <w:rFonts w:ascii="Arial" w:eastAsia="MS Mincho" w:hAnsi="Arial" w:cs="Arial"/>
          <w:sz w:val="24"/>
          <w:szCs w:val="24"/>
        </w:rPr>
        <w:t xml:space="preserve">pprenticeship </w:t>
      </w:r>
      <w:r w:rsidR="00524BEF">
        <w:rPr>
          <w:rFonts w:ascii="Arial" w:eastAsia="MS Mincho" w:hAnsi="Arial" w:cs="Arial"/>
          <w:sz w:val="24"/>
          <w:szCs w:val="24"/>
        </w:rPr>
        <w:t xml:space="preserve">programmes through the major change process, any which </w:t>
      </w:r>
      <w:r w:rsidRPr="001B4098">
        <w:rPr>
          <w:rFonts w:ascii="Arial" w:eastAsia="MS Mincho" w:hAnsi="Arial" w:cs="Arial"/>
          <w:sz w:val="24"/>
          <w:szCs w:val="24"/>
        </w:rPr>
        <w:t>go to approvals are more likely to be complex in an</w:t>
      </w:r>
      <w:r w:rsidR="00524BEF">
        <w:rPr>
          <w:rFonts w:ascii="Arial" w:eastAsia="MS Mincho" w:hAnsi="Arial" w:cs="Arial"/>
          <w:sz w:val="24"/>
          <w:szCs w:val="24"/>
        </w:rPr>
        <w:t>y case.</w:t>
      </w:r>
      <w:r w:rsidR="00371566" w:rsidRPr="001B4098">
        <w:rPr>
          <w:rFonts w:ascii="Arial" w:eastAsia="MS Mincho" w:hAnsi="Arial" w:cs="Arial"/>
          <w:sz w:val="24"/>
          <w:szCs w:val="24"/>
        </w:rPr>
        <w:t xml:space="preserve"> Previous year’s reports did not carry data on how long apprenticeship approvals took. </w:t>
      </w:r>
      <w:r w:rsidRPr="001B4098">
        <w:rPr>
          <w:rFonts w:ascii="Arial" w:eastAsia="MS Mincho" w:hAnsi="Arial" w:cs="Arial"/>
          <w:sz w:val="24"/>
          <w:szCs w:val="24"/>
        </w:rPr>
        <w:t xml:space="preserve">    </w:t>
      </w:r>
    </w:p>
    <w:p w14:paraId="6D75C8D9" w14:textId="77777777" w:rsidR="00CE727F" w:rsidRPr="00CE727F" w:rsidRDefault="00CE727F" w:rsidP="00CE727F">
      <w:pPr>
        <w:spacing w:after="0" w:line="240" w:lineRule="auto"/>
        <w:rPr>
          <w:rFonts w:ascii="Arial" w:eastAsia="MS Mincho" w:hAnsi="Arial" w:cs="Arial"/>
          <w:sz w:val="24"/>
          <w:szCs w:val="24"/>
        </w:rPr>
      </w:pPr>
      <w:r w:rsidRPr="00CE727F">
        <w:rPr>
          <w:rFonts w:ascii="Arial" w:eastAsia="MS Mincho" w:hAnsi="Arial" w:cs="Arial"/>
          <w:sz w:val="24"/>
          <w:szCs w:val="24"/>
        </w:rPr>
        <w:t xml:space="preserve">   </w:t>
      </w:r>
    </w:p>
    <w:p w14:paraId="5AA71757" w14:textId="77777777" w:rsidR="00CE727F" w:rsidRPr="00CE727F" w:rsidRDefault="00CE727F" w:rsidP="00F34EE9">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Only one apprenticeship visit was cancelled in 2019-20. This was at the education provider’s request.</w:t>
      </w:r>
    </w:p>
    <w:p w14:paraId="5737596B"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436AE59D" w14:textId="183109D1" w:rsidR="00681D7C" w:rsidRPr="00BD27D1" w:rsidRDefault="00682D6D" w:rsidP="00F34EE9">
      <w:pPr>
        <w:numPr>
          <w:ilvl w:val="0"/>
          <w:numId w:val="18"/>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In one case </w:t>
      </w:r>
      <w:r>
        <w:rPr>
          <w:rFonts w:ascii="Arial" w:eastAsia="MS Mincho" w:hAnsi="Arial" w:cs="Arial"/>
          <w:sz w:val="24"/>
          <w:szCs w:val="24"/>
        </w:rPr>
        <w:t>a follow-up visit was scheduled</w:t>
      </w:r>
      <w:r w:rsidR="00524BEF">
        <w:rPr>
          <w:rFonts w:ascii="Arial" w:eastAsia="MS Mincho" w:hAnsi="Arial" w:cs="Arial"/>
          <w:sz w:val="24"/>
          <w:szCs w:val="24"/>
        </w:rPr>
        <w:t xml:space="preserve"> as a way of demonstrating how conditions were met</w:t>
      </w:r>
      <w:r>
        <w:rPr>
          <w:rFonts w:ascii="Arial" w:eastAsia="MS Mincho" w:hAnsi="Arial" w:cs="Arial"/>
          <w:sz w:val="24"/>
          <w:szCs w:val="24"/>
        </w:rPr>
        <w:t xml:space="preserve">. This was due to visitors’ concerns about learners being enabled to meet the standards of conduct, performance and ethics, and the decision that these would most appropriately be addressed by further discussions with certain groups. The visitors recommended approval subsequent to this revisit.       </w:t>
      </w:r>
    </w:p>
    <w:p w14:paraId="0308F781" w14:textId="77777777" w:rsidR="00681D7C" w:rsidRPr="00CE727F" w:rsidRDefault="00681D7C" w:rsidP="00CE727F">
      <w:pPr>
        <w:spacing w:after="0" w:line="240" w:lineRule="auto"/>
        <w:ind w:left="720"/>
        <w:contextualSpacing/>
        <w:rPr>
          <w:rFonts w:ascii="Arial" w:eastAsia="MS Mincho" w:hAnsi="Arial" w:cs="Arial"/>
          <w:sz w:val="24"/>
          <w:szCs w:val="24"/>
        </w:rPr>
      </w:pPr>
    </w:p>
    <w:p w14:paraId="26514CD3" w14:textId="77777777" w:rsidR="00CE727F" w:rsidRPr="00CE727F" w:rsidRDefault="00CE727F" w:rsidP="00CE727F">
      <w:pPr>
        <w:spacing w:after="0" w:line="240" w:lineRule="auto"/>
        <w:rPr>
          <w:rFonts w:ascii="Arial" w:eastAsia="MS Mincho" w:hAnsi="Arial" w:cs="Arial"/>
          <w:sz w:val="24"/>
          <w:szCs w:val="24"/>
        </w:rPr>
      </w:pPr>
      <w:r w:rsidRPr="00CE727F">
        <w:rPr>
          <w:rFonts w:ascii="Arial" w:eastAsia="MS Mincho" w:hAnsi="Arial" w:cs="Arial"/>
          <w:b/>
          <w:sz w:val="24"/>
          <w:szCs w:val="24"/>
        </w:rPr>
        <w:t xml:space="preserve">Issues arising in approvals and major changes </w:t>
      </w:r>
    </w:p>
    <w:p w14:paraId="17FD1026" w14:textId="77777777" w:rsidR="00CE727F" w:rsidRPr="00CE727F" w:rsidRDefault="00CE727F" w:rsidP="00CE727F">
      <w:pPr>
        <w:spacing w:after="0" w:line="240" w:lineRule="auto"/>
        <w:ind w:left="720"/>
        <w:contextualSpacing/>
        <w:rPr>
          <w:rFonts w:ascii="Arial" w:eastAsia="MS Mincho" w:hAnsi="Arial" w:cs="Arial"/>
          <w:sz w:val="24"/>
          <w:szCs w:val="24"/>
        </w:rPr>
      </w:pPr>
    </w:p>
    <w:p w14:paraId="7D923A37" w14:textId="0EE977C6" w:rsidR="00682D6D" w:rsidRPr="00682D6D" w:rsidRDefault="00682D6D" w:rsidP="00F34EE9">
      <w:pPr>
        <w:numPr>
          <w:ilvl w:val="0"/>
          <w:numId w:val="18"/>
        </w:numPr>
        <w:spacing w:after="0" w:line="240" w:lineRule="auto"/>
        <w:contextualSpacing/>
        <w:rPr>
          <w:rFonts w:ascii="Arial" w:eastAsia="MS Mincho" w:hAnsi="Arial" w:cs="Arial"/>
          <w:sz w:val="24"/>
          <w:szCs w:val="24"/>
        </w:rPr>
      </w:pPr>
      <w:r w:rsidRPr="00682D6D">
        <w:rPr>
          <w:rFonts w:ascii="Arial" w:eastAsia="MS Mincho" w:hAnsi="Arial" w:cs="Arial"/>
          <w:sz w:val="24"/>
          <w:szCs w:val="24"/>
        </w:rPr>
        <w:t xml:space="preserve">Looking at degree apprenticeship reviews from 2019-20, the issues that have tended to recur when visitors are making decisions about how apprenticeship programmes meet HCPC standards are the same as those which have appeared in reports over the last three years. </w:t>
      </w:r>
    </w:p>
    <w:p w14:paraId="6DD03D86" w14:textId="77777777" w:rsidR="00682D6D" w:rsidRPr="00682D6D" w:rsidRDefault="00682D6D" w:rsidP="00F3026D">
      <w:pPr>
        <w:spacing w:after="0" w:line="240" w:lineRule="auto"/>
        <w:ind w:left="720"/>
        <w:contextualSpacing/>
        <w:rPr>
          <w:rFonts w:ascii="Arial" w:eastAsia="MS Mincho" w:hAnsi="Arial" w:cs="Arial"/>
          <w:sz w:val="24"/>
          <w:szCs w:val="24"/>
        </w:rPr>
      </w:pPr>
    </w:p>
    <w:p w14:paraId="62613EF2" w14:textId="053DBE96" w:rsidR="00CE727F" w:rsidRPr="00F3026D" w:rsidRDefault="00524BEF" w:rsidP="00F34EE9">
      <w:pPr>
        <w:numPr>
          <w:ilvl w:val="0"/>
          <w:numId w:val="18"/>
        </w:numPr>
        <w:spacing w:after="0" w:line="240" w:lineRule="auto"/>
        <w:contextualSpacing/>
        <w:rPr>
          <w:rFonts w:ascii="Arial" w:eastAsia="MS Mincho" w:hAnsi="Arial" w:cs="Arial"/>
          <w:sz w:val="24"/>
          <w:szCs w:val="24"/>
        </w:rPr>
      </w:pPr>
      <w:r>
        <w:rPr>
          <w:rFonts w:ascii="Arial" w:eastAsia="MS Mincho" w:hAnsi="Arial" w:cs="Arial"/>
          <w:sz w:val="24"/>
          <w:szCs w:val="24"/>
        </w:rPr>
        <w:t xml:space="preserve">There are some exceptions where </w:t>
      </w:r>
      <w:r w:rsidR="00682D6D" w:rsidRPr="00682D6D">
        <w:rPr>
          <w:rFonts w:ascii="Arial" w:eastAsia="MS Mincho" w:hAnsi="Arial" w:cs="Arial"/>
          <w:sz w:val="24"/>
          <w:szCs w:val="24"/>
        </w:rPr>
        <w:t xml:space="preserve">issues which have recurred in previous years but have not appeared in 2019-20. </w:t>
      </w:r>
      <w:r>
        <w:rPr>
          <w:rFonts w:ascii="Arial" w:eastAsia="MS Mincho" w:hAnsi="Arial" w:cs="Arial"/>
          <w:sz w:val="24"/>
          <w:szCs w:val="24"/>
        </w:rPr>
        <w:t xml:space="preserve">An example is the visitors </w:t>
      </w:r>
      <w:r w:rsidR="00682D6D" w:rsidRPr="00682D6D">
        <w:rPr>
          <w:rFonts w:ascii="Arial" w:eastAsia="MS Mincho" w:hAnsi="Arial" w:cs="Arial"/>
          <w:sz w:val="24"/>
          <w:szCs w:val="24"/>
        </w:rPr>
        <w:t xml:space="preserve">concern around assessment, especially the workings and integration of End Point Assessments. This may reflect a stronger and increased understanding of </w:t>
      </w:r>
      <w:r w:rsidR="00682D6D" w:rsidRPr="00682D6D">
        <w:rPr>
          <w:rFonts w:ascii="Arial" w:eastAsia="MS Mincho" w:hAnsi="Arial" w:cs="Arial"/>
          <w:sz w:val="24"/>
          <w:szCs w:val="24"/>
        </w:rPr>
        <w:lastRenderedPageBreak/>
        <w:t>assessment in general and EPAs in particular among visitors and the HCPC Executive after several years of HCPC work around apprenticeships.</w:t>
      </w:r>
    </w:p>
    <w:p w14:paraId="6C895CD1" w14:textId="77777777" w:rsidR="008F1A5D" w:rsidRDefault="008F1A5D" w:rsidP="008F1A5D">
      <w:pPr>
        <w:spacing w:after="0" w:line="240" w:lineRule="auto"/>
        <w:ind w:left="720"/>
        <w:contextualSpacing/>
        <w:rPr>
          <w:rFonts w:ascii="Arial" w:eastAsia="MS Mincho" w:hAnsi="Arial" w:cs="Arial"/>
          <w:sz w:val="24"/>
          <w:szCs w:val="24"/>
        </w:rPr>
      </w:pPr>
    </w:p>
    <w:p w14:paraId="6E8050D5" w14:textId="5D7EDDF1" w:rsidR="008F1A5D" w:rsidRDefault="008F1A5D" w:rsidP="00F34EE9">
      <w:pPr>
        <w:numPr>
          <w:ilvl w:val="0"/>
          <w:numId w:val="18"/>
        </w:numPr>
        <w:spacing w:after="0" w:line="240" w:lineRule="auto"/>
        <w:contextualSpacing/>
        <w:rPr>
          <w:rFonts w:ascii="Arial" w:eastAsia="MS Mincho" w:hAnsi="Arial" w:cs="Arial"/>
          <w:sz w:val="24"/>
          <w:szCs w:val="24"/>
        </w:rPr>
      </w:pPr>
      <w:r w:rsidRPr="008F1A5D">
        <w:rPr>
          <w:rFonts w:ascii="Arial" w:eastAsia="MS Mincho" w:hAnsi="Arial" w:cs="Arial"/>
          <w:sz w:val="24"/>
          <w:szCs w:val="24"/>
        </w:rPr>
        <w:t>The following is a summary of the themes that have tended to arise across all three years of degree apprenticeships</w:t>
      </w:r>
    </w:p>
    <w:p w14:paraId="722D4D14" w14:textId="41567CEF" w:rsidR="00CE727F" w:rsidRPr="00CE727F" w:rsidRDefault="00CE727F" w:rsidP="00CE727F">
      <w:pPr>
        <w:spacing w:after="0" w:line="240" w:lineRule="auto"/>
        <w:rPr>
          <w:rFonts w:ascii="Arial" w:eastAsia="MS Mincho" w:hAnsi="Arial" w:cs="Arial"/>
          <w:sz w:val="24"/>
          <w:szCs w:val="24"/>
        </w:rPr>
      </w:pPr>
    </w:p>
    <w:p w14:paraId="4EF2DF97" w14:textId="77777777" w:rsidR="00CE727F" w:rsidRPr="00CE727F" w:rsidRDefault="00CE727F" w:rsidP="00CE727F">
      <w:pPr>
        <w:spacing w:after="0" w:line="240" w:lineRule="auto"/>
        <w:rPr>
          <w:rFonts w:ascii="Arial" w:eastAsia="MS Mincho" w:hAnsi="Arial" w:cs="Arial"/>
          <w:sz w:val="24"/>
          <w:szCs w:val="24"/>
          <w:u w:val="single"/>
        </w:rPr>
      </w:pPr>
      <w:r w:rsidRPr="00CE727F">
        <w:rPr>
          <w:rFonts w:ascii="Arial" w:eastAsia="MS Mincho" w:hAnsi="Arial" w:cs="Arial"/>
          <w:sz w:val="24"/>
          <w:szCs w:val="24"/>
          <w:u w:val="single"/>
        </w:rPr>
        <w:t>Overall leadership and sustainability</w:t>
      </w:r>
    </w:p>
    <w:p w14:paraId="56789047" w14:textId="77777777" w:rsidR="00CE727F" w:rsidRPr="00CE727F" w:rsidRDefault="00CE727F" w:rsidP="00CE727F">
      <w:pPr>
        <w:spacing w:after="0" w:line="240" w:lineRule="auto"/>
        <w:rPr>
          <w:rFonts w:ascii="Arial" w:eastAsia="MS Mincho" w:hAnsi="Arial" w:cs="Arial"/>
          <w:sz w:val="24"/>
          <w:szCs w:val="24"/>
          <w:u w:val="single"/>
        </w:rPr>
      </w:pPr>
    </w:p>
    <w:p w14:paraId="6A43C743" w14:textId="10959D5B" w:rsidR="00CE727F" w:rsidRPr="002A501E" w:rsidRDefault="00CE727F" w:rsidP="00F34EE9">
      <w:pPr>
        <w:pStyle w:val="ListParagraph"/>
        <w:numPr>
          <w:ilvl w:val="0"/>
          <w:numId w:val="18"/>
        </w:numPr>
        <w:rPr>
          <w:rFonts w:ascii="Arial" w:eastAsia="MS Mincho" w:hAnsi="Arial" w:cs="Arial"/>
          <w:sz w:val="24"/>
          <w:szCs w:val="24"/>
        </w:rPr>
      </w:pPr>
      <w:r w:rsidRPr="002A501E">
        <w:rPr>
          <w:rFonts w:ascii="Arial" w:eastAsia="MS Mincho" w:hAnsi="Arial" w:cs="Arial"/>
          <w:sz w:val="24"/>
          <w:szCs w:val="24"/>
        </w:rPr>
        <w:t xml:space="preserve">This </w:t>
      </w:r>
      <w:r w:rsidR="00EF5D5C">
        <w:rPr>
          <w:rFonts w:ascii="Arial" w:eastAsia="MS Mincho" w:hAnsi="Arial" w:cs="Arial"/>
          <w:sz w:val="24"/>
          <w:szCs w:val="24"/>
        </w:rPr>
        <w:t>theme</w:t>
      </w:r>
      <w:r w:rsidRPr="002A501E">
        <w:rPr>
          <w:rFonts w:ascii="Arial" w:eastAsia="MS Mincho" w:hAnsi="Arial" w:cs="Arial"/>
          <w:sz w:val="24"/>
          <w:szCs w:val="24"/>
        </w:rPr>
        <w:t xml:space="preserve"> includes questions regarding how the programme is organised and administered at a senior level, how senior leadership from education providers create and sustain relationships with stakeholders, and how the operation of the programme is effectively supported.</w:t>
      </w:r>
    </w:p>
    <w:p w14:paraId="45403C84" w14:textId="77777777" w:rsidR="00CE727F" w:rsidRPr="00CE727F" w:rsidRDefault="00CE727F" w:rsidP="00CE727F">
      <w:pPr>
        <w:spacing w:after="0" w:line="240" w:lineRule="auto"/>
        <w:rPr>
          <w:rFonts w:ascii="Arial" w:eastAsia="MS Mincho" w:hAnsi="Arial" w:cs="Arial"/>
          <w:sz w:val="24"/>
          <w:szCs w:val="24"/>
        </w:rPr>
      </w:pPr>
    </w:p>
    <w:p w14:paraId="4C5E725D" w14:textId="1E05685C" w:rsidR="00CE727F" w:rsidRPr="002A501E" w:rsidRDefault="00CE727F" w:rsidP="00F34EE9">
      <w:pPr>
        <w:pStyle w:val="ListParagraph"/>
        <w:numPr>
          <w:ilvl w:val="0"/>
          <w:numId w:val="18"/>
        </w:numPr>
        <w:rPr>
          <w:rFonts w:ascii="Arial" w:eastAsia="MS Mincho" w:hAnsi="Arial" w:cs="Arial"/>
          <w:sz w:val="24"/>
          <w:szCs w:val="24"/>
        </w:rPr>
      </w:pPr>
      <w:r w:rsidRPr="002A501E">
        <w:rPr>
          <w:rFonts w:ascii="Arial" w:eastAsia="MS Mincho" w:hAnsi="Arial" w:cs="Arial"/>
          <w:sz w:val="24"/>
          <w:szCs w:val="24"/>
        </w:rPr>
        <w:t>Visitors in approval and major change cases across all three years requested further evidence about:</w:t>
      </w:r>
    </w:p>
    <w:p w14:paraId="5E562E87" w14:textId="77777777" w:rsidR="00CE727F" w:rsidRPr="00CE727F" w:rsidRDefault="00CE727F" w:rsidP="00CE727F">
      <w:pPr>
        <w:spacing w:after="0" w:line="240" w:lineRule="auto"/>
        <w:rPr>
          <w:rFonts w:ascii="Arial" w:eastAsia="MS Mincho" w:hAnsi="Arial" w:cs="Arial"/>
          <w:sz w:val="24"/>
          <w:szCs w:val="24"/>
        </w:rPr>
      </w:pPr>
    </w:p>
    <w:p w14:paraId="2B43DB98" w14:textId="77777777" w:rsidR="00CE727F" w:rsidRPr="00CE727F" w:rsidRDefault="00CE727F" w:rsidP="00CE727F">
      <w:pPr>
        <w:numPr>
          <w:ilvl w:val="0"/>
          <w:numId w:val="13"/>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The development and maintenance of formal relationships between education providers, apprentices, employers and other stakeholders;</w:t>
      </w:r>
    </w:p>
    <w:p w14:paraId="654C14EF" w14:textId="002BCFE8" w:rsidR="00CE727F" w:rsidRPr="00CE727F" w:rsidRDefault="00CE727F" w:rsidP="00CE727F">
      <w:pPr>
        <w:numPr>
          <w:ilvl w:val="0"/>
          <w:numId w:val="13"/>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The rationale and demand for apprenticeship programmes in specific areas; </w:t>
      </w:r>
      <w:r w:rsidR="00981A0C">
        <w:rPr>
          <w:rFonts w:ascii="Arial" w:eastAsia="MS Mincho" w:hAnsi="Arial" w:cs="Arial"/>
          <w:sz w:val="24"/>
          <w:szCs w:val="24"/>
        </w:rPr>
        <w:t>and</w:t>
      </w:r>
    </w:p>
    <w:p w14:paraId="32CBEFF0" w14:textId="67953801" w:rsidR="00CE727F" w:rsidRPr="00CE727F" w:rsidRDefault="00CE727F" w:rsidP="00CE727F">
      <w:pPr>
        <w:numPr>
          <w:ilvl w:val="0"/>
          <w:numId w:val="13"/>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Who </w:t>
      </w:r>
      <w:r w:rsidR="00981A0C">
        <w:rPr>
          <w:rFonts w:ascii="Arial" w:eastAsia="MS Mincho" w:hAnsi="Arial" w:cs="Arial"/>
          <w:sz w:val="24"/>
          <w:szCs w:val="24"/>
        </w:rPr>
        <w:t>had</w:t>
      </w:r>
      <w:r w:rsidR="00981A0C" w:rsidRPr="00CE727F">
        <w:rPr>
          <w:rFonts w:ascii="Arial" w:eastAsia="MS Mincho" w:hAnsi="Arial" w:cs="Arial"/>
          <w:sz w:val="24"/>
          <w:szCs w:val="24"/>
        </w:rPr>
        <w:t xml:space="preserve"> </w:t>
      </w:r>
      <w:r w:rsidRPr="00CE727F">
        <w:rPr>
          <w:rFonts w:ascii="Arial" w:eastAsia="MS Mincho" w:hAnsi="Arial" w:cs="Arial"/>
          <w:sz w:val="24"/>
          <w:szCs w:val="24"/>
        </w:rPr>
        <w:t>responsibility for apprentices’ quality of experience, learning achievement, and health and wellbeing while they were with the employer.</w:t>
      </w:r>
    </w:p>
    <w:p w14:paraId="54C09F3B" w14:textId="77777777" w:rsidR="00CE727F" w:rsidRPr="00CE727F" w:rsidRDefault="00CE727F" w:rsidP="00CE727F">
      <w:pPr>
        <w:spacing w:after="0" w:line="240" w:lineRule="auto"/>
        <w:rPr>
          <w:rFonts w:ascii="Arial" w:eastAsia="MS Mincho" w:hAnsi="Arial" w:cs="Arial"/>
          <w:sz w:val="24"/>
          <w:szCs w:val="24"/>
        </w:rPr>
      </w:pPr>
    </w:p>
    <w:p w14:paraId="68A6AAB7" w14:textId="07BED11A" w:rsidR="006873BD" w:rsidRDefault="00CE727F" w:rsidP="00F34EE9">
      <w:pPr>
        <w:pStyle w:val="ListParagraph"/>
        <w:numPr>
          <w:ilvl w:val="0"/>
          <w:numId w:val="18"/>
        </w:numPr>
        <w:rPr>
          <w:rFonts w:ascii="Arial" w:eastAsia="MS Mincho" w:hAnsi="Arial" w:cs="Arial"/>
          <w:sz w:val="24"/>
          <w:szCs w:val="24"/>
        </w:rPr>
      </w:pPr>
      <w:r w:rsidRPr="002A501E">
        <w:rPr>
          <w:rFonts w:ascii="Arial" w:eastAsia="MS Mincho" w:hAnsi="Arial" w:cs="Arial"/>
          <w:sz w:val="24"/>
          <w:szCs w:val="24"/>
        </w:rPr>
        <w:t>In general</w:t>
      </w:r>
      <w:r w:rsidR="00536957">
        <w:rPr>
          <w:rFonts w:ascii="Arial" w:eastAsia="MS Mincho" w:hAnsi="Arial" w:cs="Arial"/>
          <w:sz w:val="24"/>
          <w:szCs w:val="24"/>
        </w:rPr>
        <w:t>,</w:t>
      </w:r>
      <w:r w:rsidRPr="002A501E">
        <w:rPr>
          <w:rFonts w:ascii="Arial" w:eastAsia="MS Mincho" w:hAnsi="Arial" w:cs="Arial"/>
          <w:sz w:val="24"/>
          <w:szCs w:val="24"/>
        </w:rPr>
        <w:t xml:space="preserve"> the approach taken by visitors when considering these issues was to consider evidence such as draft working arrangements and tender agreements, with the understanding that the HCPC should be approached if there were substantial changes.</w:t>
      </w:r>
    </w:p>
    <w:p w14:paraId="5AB3E740" w14:textId="7B9D9D40" w:rsidR="008F1A5D" w:rsidRDefault="00CE727F" w:rsidP="006873BD">
      <w:pPr>
        <w:pStyle w:val="ListParagraph"/>
        <w:rPr>
          <w:rFonts w:ascii="Arial" w:eastAsia="MS Mincho" w:hAnsi="Arial" w:cs="Arial"/>
          <w:sz w:val="24"/>
          <w:szCs w:val="24"/>
        </w:rPr>
      </w:pPr>
      <w:r w:rsidRPr="002A501E">
        <w:rPr>
          <w:rFonts w:ascii="Arial" w:eastAsia="MS Mincho" w:hAnsi="Arial" w:cs="Arial"/>
          <w:sz w:val="24"/>
          <w:szCs w:val="24"/>
        </w:rPr>
        <w:t xml:space="preserve"> </w:t>
      </w:r>
    </w:p>
    <w:p w14:paraId="0BB9B9DA" w14:textId="6773DDBA" w:rsidR="006873BD" w:rsidRPr="006873BD" w:rsidRDefault="006873BD" w:rsidP="00F34EE9">
      <w:pPr>
        <w:pStyle w:val="ListParagraph"/>
        <w:numPr>
          <w:ilvl w:val="0"/>
          <w:numId w:val="18"/>
        </w:numPr>
        <w:rPr>
          <w:rFonts w:ascii="Arial" w:eastAsia="MS Mincho" w:hAnsi="Arial" w:cs="Arial"/>
          <w:sz w:val="24"/>
          <w:szCs w:val="24"/>
        </w:rPr>
      </w:pPr>
      <w:r>
        <w:rPr>
          <w:rFonts w:ascii="Arial" w:eastAsia="MS Mincho" w:hAnsi="Arial" w:cs="Arial"/>
          <w:sz w:val="24"/>
          <w:szCs w:val="24"/>
        </w:rPr>
        <w:t>It is likely that visitors tend to seek further evidence in respect to these areas because they are crucial to the effective running of an apprenticeship. Without clearly defined strategic relationships, an understanding of local conditions, and clear definitions of responsibility, apprenticeships will not function as intended.</w:t>
      </w:r>
    </w:p>
    <w:p w14:paraId="0CCD085F" w14:textId="77777777" w:rsidR="00CE727F" w:rsidRPr="00CE727F" w:rsidRDefault="00CE727F" w:rsidP="00CE727F">
      <w:pPr>
        <w:spacing w:after="0" w:line="240" w:lineRule="auto"/>
        <w:rPr>
          <w:rFonts w:ascii="Arial" w:eastAsia="MS Mincho" w:hAnsi="Arial" w:cs="Arial"/>
          <w:sz w:val="24"/>
          <w:szCs w:val="24"/>
        </w:rPr>
      </w:pPr>
    </w:p>
    <w:p w14:paraId="30C6DAD6" w14:textId="77777777" w:rsidR="00CE727F" w:rsidRPr="00CE727F" w:rsidRDefault="00CE727F" w:rsidP="00CE727F">
      <w:pPr>
        <w:spacing w:after="0" w:line="240" w:lineRule="auto"/>
        <w:rPr>
          <w:rFonts w:ascii="Arial" w:eastAsia="MS Mincho" w:hAnsi="Arial" w:cs="Arial"/>
          <w:sz w:val="24"/>
          <w:szCs w:val="24"/>
          <w:u w:val="single"/>
        </w:rPr>
      </w:pPr>
      <w:r w:rsidRPr="00CE727F">
        <w:rPr>
          <w:rFonts w:ascii="Arial" w:eastAsia="MS Mincho" w:hAnsi="Arial" w:cs="Arial"/>
          <w:sz w:val="24"/>
          <w:szCs w:val="24"/>
          <w:u w:val="single"/>
        </w:rPr>
        <w:t>Operational management</w:t>
      </w:r>
    </w:p>
    <w:p w14:paraId="57C611AB" w14:textId="77777777" w:rsidR="00CE727F" w:rsidRPr="00CE727F" w:rsidRDefault="00CE727F" w:rsidP="00CE727F">
      <w:pPr>
        <w:spacing w:after="0" w:line="240" w:lineRule="auto"/>
        <w:rPr>
          <w:rFonts w:ascii="Arial" w:eastAsia="MS Mincho" w:hAnsi="Arial" w:cs="Arial"/>
          <w:sz w:val="24"/>
          <w:szCs w:val="24"/>
          <w:u w:val="single"/>
        </w:rPr>
      </w:pPr>
    </w:p>
    <w:p w14:paraId="64A0A35D" w14:textId="7647C0B4" w:rsidR="00CE727F" w:rsidRPr="002A501E" w:rsidRDefault="00CE727F" w:rsidP="00F34EE9">
      <w:pPr>
        <w:pStyle w:val="ListParagraph"/>
        <w:numPr>
          <w:ilvl w:val="0"/>
          <w:numId w:val="18"/>
        </w:numPr>
        <w:rPr>
          <w:rFonts w:ascii="Arial" w:eastAsia="MS Mincho" w:hAnsi="Arial" w:cs="Arial"/>
          <w:sz w:val="24"/>
          <w:szCs w:val="24"/>
        </w:rPr>
      </w:pPr>
      <w:r w:rsidRPr="002A501E">
        <w:rPr>
          <w:rFonts w:ascii="Arial" w:eastAsia="MS Mincho" w:hAnsi="Arial" w:cs="Arial"/>
          <w:sz w:val="24"/>
          <w:szCs w:val="24"/>
        </w:rPr>
        <w:t>This includes issues relating to the day-to-day functioning and administration of the programme, including teaching and learning activities, and the quality of the learner experience.</w:t>
      </w:r>
    </w:p>
    <w:p w14:paraId="01A80340" w14:textId="77777777" w:rsidR="00CE727F" w:rsidRPr="00CE727F" w:rsidRDefault="00CE727F" w:rsidP="00CE727F">
      <w:pPr>
        <w:spacing w:after="0" w:line="240" w:lineRule="auto"/>
        <w:rPr>
          <w:rFonts w:ascii="Arial" w:eastAsia="MS Mincho" w:hAnsi="Arial" w:cs="Arial"/>
          <w:sz w:val="24"/>
          <w:szCs w:val="24"/>
        </w:rPr>
      </w:pPr>
    </w:p>
    <w:p w14:paraId="25916746" w14:textId="0902522F" w:rsidR="00CE727F" w:rsidRPr="002A501E" w:rsidRDefault="00CE727F" w:rsidP="00F34EE9">
      <w:pPr>
        <w:pStyle w:val="ListParagraph"/>
        <w:numPr>
          <w:ilvl w:val="0"/>
          <w:numId w:val="18"/>
        </w:numPr>
        <w:rPr>
          <w:rFonts w:ascii="Arial" w:eastAsia="MS Mincho" w:hAnsi="Arial" w:cs="Arial"/>
          <w:sz w:val="24"/>
          <w:szCs w:val="24"/>
        </w:rPr>
      </w:pPr>
      <w:r w:rsidRPr="002A501E">
        <w:rPr>
          <w:rFonts w:ascii="Arial" w:eastAsia="MS Mincho" w:hAnsi="Arial" w:cs="Arial"/>
          <w:sz w:val="24"/>
          <w:szCs w:val="24"/>
        </w:rPr>
        <w:t>All of the following areas appear</w:t>
      </w:r>
      <w:r w:rsidR="00536957">
        <w:rPr>
          <w:rFonts w:ascii="Arial" w:eastAsia="MS Mincho" w:hAnsi="Arial" w:cs="Arial"/>
          <w:sz w:val="24"/>
          <w:szCs w:val="24"/>
        </w:rPr>
        <w:t>ed</w:t>
      </w:r>
      <w:r w:rsidRPr="002A501E">
        <w:rPr>
          <w:rFonts w:ascii="Arial" w:eastAsia="MS Mincho" w:hAnsi="Arial" w:cs="Arial"/>
          <w:sz w:val="24"/>
          <w:szCs w:val="24"/>
        </w:rPr>
        <w:t xml:space="preserve"> as key themes in approval </w:t>
      </w:r>
      <w:r w:rsidR="006873BD">
        <w:rPr>
          <w:rFonts w:ascii="Arial" w:eastAsia="MS Mincho" w:hAnsi="Arial" w:cs="Arial"/>
          <w:sz w:val="24"/>
          <w:szCs w:val="24"/>
        </w:rPr>
        <w:t xml:space="preserve">and major change </w:t>
      </w:r>
      <w:r w:rsidRPr="002A501E">
        <w:rPr>
          <w:rFonts w:ascii="Arial" w:eastAsia="MS Mincho" w:hAnsi="Arial" w:cs="Arial"/>
          <w:sz w:val="24"/>
          <w:szCs w:val="24"/>
        </w:rPr>
        <w:t>reports from across the three years of apprenticeship assessment:</w:t>
      </w:r>
    </w:p>
    <w:p w14:paraId="5633A4AC" w14:textId="77777777" w:rsidR="00CE727F" w:rsidRPr="00CE727F" w:rsidRDefault="00CE727F" w:rsidP="00CE727F">
      <w:pPr>
        <w:spacing w:after="0" w:line="240" w:lineRule="auto"/>
        <w:rPr>
          <w:rFonts w:ascii="Arial" w:eastAsia="MS Mincho" w:hAnsi="Arial" w:cs="Arial"/>
          <w:sz w:val="24"/>
          <w:szCs w:val="24"/>
        </w:rPr>
      </w:pPr>
    </w:p>
    <w:p w14:paraId="16414154" w14:textId="40531DAB" w:rsidR="00CE727F" w:rsidRPr="00CE727F" w:rsidRDefault="00CE727F" w:rsidP="00CE727F">
      <w:pPr>
        <w:numPr>
          <w:ilvl w:val="0"/>
          <w:numId w:val="14"/>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Lines of communication and accountability between </w:t>
      </w:r>
      <w:r w:rsidR="00EF5D5C">
        <w:rPr>
          <w:rFonts w:ascii="Arial" w:eastAsia="MS Mincho" w:hAnsi="Arial" w:cs="Arial"/>
          <w:sz w:val="24"/>
          <w:szCs w:val="24"/>
        </w:rPr>
        <w:t>apprentices</w:t>
      </w:r>
      <w:r w:rsidRPr="00CE727F">
        <w:rPr>
          <w:rFonts w:ascii="Arial" w:eastAsia="MS Mincho" w:hAnsi="Arial" w:cs="Arial"/>
          <w:sz w:val="24"/>
          <w:szCs w:val="24"/>
        </w:rPr>
        <w:t>, employer partners and education providers;</w:t>
      </w:r>
    </w:p>
    <w:p w14:paraId="6073DF6C" w14:textId="1BE8F2D2" w:rsidR="00CE727F" w:rsidRPr="00CE727F" w:rsidRDefault="00CE727F" w:rsidP="00CE727F">
      <w:pPr>
        <w:numPr>
          <w:ilvl w:val="0"/>
          <w:numId w:val="14"/>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Understanding of programme requirements among those involved in employer placements;</w:t>
      </w:r>
      <w:r w:rsidR="00536957">
        <w:rPr>
          <w:rFonts w:ascii="Arial" w:eastAsia="MS Mincho" w:hAnsi="Arial" w:cs="Arial"/>
          <w:sz w:val="24"/>
          <w:szCs w:val="24"/>
        </w:rPr>
        <w:t xml:space="preserve"> and</w:t>
      </w:r>
    </w:p>
    <w:p w14:paraId="584F1D02" w14:textId="36A7447B" w:rsidR="00CE727F" w:rsidRDefault="00CE727F" w:rsidP="00CE727F">
      <w:pPr>
        <w:numPr>
          <w:ilvl w:val="0"/>
          <w:numId w:val="14"/>
        </w:numPr>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The status of apprentices during their programme, i.e. their employment position and the expectations of them from both </w:t>
      </w:r>
      <w:r w:rsidR="00536957">
        <w:rPr>
          <w:rFonts w:ascii="Arial" w:eastAsia="MS Mincho" w:hAnsi="Arial" w:cs="Arial"/>
          <w:sz w:val="24"/>
          <w:szCs w:val="24"/>
        </w:rPr>
        <w:t xml:space="preserve">the </w:t>
      </w:r>
      <w:r w:rsidRPr="00CE727F">
        <w:rPr>
          <w:rFonts w:ascii="Arial" w:eastAsia="MS Mincho" w:hAnsi="Arial" w:cs="Arial"/>
          <w:sz w:val="24"/>
          <w:szCs w:val="24"/>
        </w:rPr>
        <w:t>education provider and employers.</w:t>
      </w:r>
    </w:p>
    <w:p w14:paraId="432A3B3D" w14:textId="20BB688E" w:rsidR="006873BD" w:rsidRDefault="006873BD" w:rsidP="006873BD">
      <w:pPr>
        <w:spacing w:after="0" w:line="240" w:lineRule="auto"/>
        <w:ind w:left="360"/>
        <w:contextualSpacing/>
        <w:rPr>
          <w:rFonts w:ascii="Arial" w:eastAsia="MS Mincho" w:hAnsi="Arial" w:cs="Arial"/>
          <w:sz w:val="24"/>
          <w:szCs w:val="24"/>
        </w:rPr>
      </w:pPr>
    </w:p>
    <w:p w14:paraId="50A6DB43" w14:textId="600DDFC7" w:rsidR="006873BD" w:rsidRPr="006873BD" w:rsidRDefault="006873BD" w:rsidP="00F34EE9">
      <w:pPr>
        <w:pStyle w:val="ListParagraph"/>
        <w:numPr>
          <w:ilvl w:val="0"/>
          <w:numId w:val="18"/>
        </w:numPr>
        <w:contextualSpacing/>
        <w:rPr>
          <w:rFonts w:ascii="Arial" w:eastAsia="MS Mincho" w:hAnsi="Arial" w:cs="Arial"/>
          <w:sz w:val="24"/>
          <w:szCs w:val="24"/>
        </w:rPr>
      </w:pPr>
      <w:r>
        <w:rPr>
          <w:rFonts w:ascii="Arial" w:eastAsia="MS Mincho" w:hAnsi="Arial" w:cs="Arial"/>
          <w:sz w:val="24"/>
          <w:szCs w:val="24"/>
        </w:rPr>
        <w:t>As with the high-level leadership issues mentioned above,</w:t>
      </w:r>
      <w:r w:rsidR="00607CE7">
        <w:rPr>
          <w:rFonts w:ascii="Arial" w:eastAsia="MS Mincho" w:hAnsi="Arial" w:cs="Arial"/>
          <w:sz w:val="24"/>
          <w:szCs w:val="24"/>
        </w:rPr>
        <w:t xml:space="preserve"> there are likely reasons for</w:t>
      </w:r>
      <w:r>
        <w:rPr>
          <w:rFonts w:ascii="Arial" w:eastAsia="MS Mincho" w:hAnsi="Arial" w:cs="Arial"/>
          <w:sz w:val="24"/>
          <w:szCs w:val="24"/>
        </w:rPr>
        <w:t xml:space="preserve"> visitors’ continuing focus on these areas</w:t>
      </w:r>
      <w:r w:rsidR="00607CE7">
        <w:rPr>
          <w:rFonts w:ascii="Arial" w:eastAsia="MS Mincho" w:hAnsi="Arial" w:cs="Arial"/>
          <w:sz w:val="24"/>
          <w:szCs w:val="24"/>
        </w:rPr>
        <w:t>.</w:t>
      </w:r>
      <w:r>
        <w:rPr>
          <w:rFonts w:ascii="Arial" w:eastAsia="MS Mincho" w:hAnsi="Arial" w:cs="Arial"/>
          <w:sz w:val="24"/>
          <w:szCs w:val="24"/>
        </w:rPr>
        <w:t xml:space="preserve"> </w:t>
      </w:r>
      <w:r w:rsidR="00607CE7">
        <w:rPr>
          <w:rFonts w:ascii="Arial" w:eastAsia="MS Mincho" w:hAnsi="Arial" w:cs="Arial"/>
          <w:sz w:val="24"/>
          <w:szCs w:val="24"/>
        </w:rPr>
        <w:t>A</w:t>
      </w:r>
      <w:r>
        <w:rPr>
          <w:rFonts w:ascii="Arial" w:eastAsia="MS Mincho" w:hAnsi="Arial" w:cs="Arial"/>
          <w:sz w:val="24"/>
          <w:szCs w:val="24"/>
        </w:rPr>
        <w:t xml:space="preserve">pprenticeships require particularly strong co-operation between education providers and employer partners on a routine basis to deliver the programme effectively, to address problems in a timely manner, and </w:t>
      </w:r>
      <w:r w:rsidR="00A7092A">
        <w:rPr>
          <w:rFonts w:ascii="Arial" w:eastAsia="MS Mincho" w:hAnsi="Arial" w:cs="Arial"/>
          <w:sz w:val="24"/>
          <w:szCs w:val="24"/>
        </w:rPr>
        <w:t xml:space="preserve">to support </w:t>
      </w:r>
      <w:r w:rsidR="00EF5D5C">
        <w:rPr>
          <w:rFonts w:ascii="Arial" w:eastAsia="MS Mincho" w:hAnsi="Arial" w:cs="Arial"/>
          <w:sz w:val="24"/>
          <w:szCs w:val="24"/>
        </w:rPr>
        <w:t>apprentices</w:t>
      </w:r>
      <w:r w:rsidR="00A7092A">
        <w:rPr>
          <w:rFonts w:ascii="Arial" w:eastAsia="MS Mincho" w:hAnsi="Arial" w:cs="Arial"/>
          <w:sz w:val="24"/>
          <w:szCs w:val="24"/>
        </w:rPr>
        <w:t>.</w:t>
      </w:r>
      <w:r w:rsidR="00C70C6D">
        <w:rPr>
          <w:rFonts w:ascii="Arial" w:eastAsia="MS Mincho" w:hAnsi="Arial" w:cs="Arial"/>
          <w:sz w:val="24"/>
          <w:szCs w:val="24"/>
        </w:rPr>
        <w:t xml:space="preserve"> The fact that </w:t>
      </w:r>
      <w:r w:rsidR="00EF5D5C">
        <w:rPr>
          <w:rFonts w:ascii="Arial" w:eastAsia="MS Mincho" w:hAnsi="Arial" w:cs="Arial"/>
          <w:sz w:val="24"/>
          <w:szCs w:val="24"/>
        </w:rPr>
        <w:t>apprentices</w:t>
      </w:r>
      <w:r w:rsidR="00C70C6D">
        <w:rPr>
          <w:rFonts w:ascii="Arial" w:eastAsia="MS Mincho" w:hAnsi="Arial" w:cs="Arial"/>
          <w:sz w:val="24"/>
          <w:szCs w:val="24"/>
        </w:rPr>
        <w:t xml:space="preserve"> are also employees in </w:t>
      </w:r>
      <w:r w:rsidR="00EF5D5C">
        <w:rPr>
          <w:rFonts w:ascii="Arial" w:eastAsia="MS Mincho" w:hAnsi="Arial" w:cs="Arial"/>
          <w:sz w:val="24"/>
          <w:szCs w:val="24"/>
        </w:rPr>
        <w:t xml:space="preserve">these programmes </w:t>
      </w:r>
      <w:r w:rsidR="00C70C6D">
        <w:rPr>
          <w:rFonts w:ascii="Arial" w:eastAsia="MS Mincho" w:hAnsi="Arial" w:cs="Arial"/>
          <w:sz w:val="24"/>
          <w:szCs w:val="24"/>
        </w:rPr>
        <w:t xml:space="preserve">can affect the dynamics of assessment, and the mechanisms for raising concerns and accessing wellbeing support. </w:t>
      </w:r>
    </w:p>
    <w:p w14:paraId="6E18A958" w14:textId="35DC3758" w:rsidR="00CE727F" w:rsidRPr="00CE727F" w:rsidRDefault="00CE727F" w:rsidP="00CE727F">
      <w:pPr>
        <w:spacing w:after="0" w:line="240" w:lineRule="auto"/>
        <w:rPr>
          <w:rFonts w:ascii="Arial" w:eastAsia="MS Mincho" w:hAnsi="Arial" w:cs="Arial"/>
          <w:sz w:val="24"/>
          <w:szCs w:val="24"/>
        </w:rPr>
      </w:pPr>
    </w:p>
    <w:p w14:paraId="43258A15" w14:textId="77777777" w:rsidR="00CE727F" w:rsidRPr="00CE727F" w:rsidRDefault="00CE727F" w:rsidP="00CE727F">
      <w:pPr>
        <w:spacing w:after="0" w:line="240" w:lineRule="auto"/>
        <w:rPr>
          <w:rFonts w:ascii="Arial" w:eastAsia="MS Mincho" w:hAnsi="Arial" w:cs="Arial"/>
          <w:sz w:val="24"/>
          <w:szCs w:val="24"/>
          <w:u w:val="single"/>
        </w:rPr>
      </w:pPr>
      <w:r w:rsidRPr="00CE727F">
        <w:rPr>
          <w:rFonts w:ascii="Arial" w:eastAsia="MS Mincho" w:hAnsi="Arial" w:cs="Arial"/>
          <w:sz w:val="24"/>
          <w:szCs w:val="24"/>
          <w:u w:val="single"/>
        </w:rPr>
        <w:t xml:space="preserve">Programme resources </w:t>
      </w:r>
    </w:p>
    <w:p w14:paraId="122F1DE0" w14:textId="77777777" w:rsidR="00CE727F" w:rsidRPr="00CE727F" w:rsidRDefault="00CE727F" w:rsidP="00CE727F">
      <w:pPr>
        <w:spacing w:after="0" w:line="240" w:lineRule="auto"/>
        <w:rPr>
          <w:rFonts w:ascii="Arial" w:eastAsia="MS Mincho" w:hAnsi="Arial" w:cs="Arial"/>
          <w:sz w:val="24"/>
          <w:szCs w:val="24"/>
          <w:u w:val="single"/>
        </w:rPr>
      </w:pPr>
    </w:p>
    <w:p w14:paraId="3499D079" w14:textId="172A9848" w:rsidR="00CE727F" w:rsidRPr="002A501E" w:rsidRDefault="00CE727F" w:rsidP="00F34EE9">
      <w:pPr>
        <w:pStyle w:val="ListParagraph"/>
        <w:numPr>
          <w:ilvl w:val="0"/>
          <w:numId w:val="18"/>
        </w:numPr>
        <w:rPr>
          <w:rFonts w:ascii="Arial" w:eastAsia="MS Mincho" w:hAnsi="Arial" w:cs="Arial"/>
          <w:sz w:val="24"/>
          <w:szCs w:val="24"/>
        </w:rPr>
      </w:pPr>
      <w:r w:rsidRPr="002A501E">
        <w:rPr>
          <w:rFonts w:ascii="Arial" w:eastAsia="MS Mincho" w:hAnsi="Arial" w:cs="Arial"/>
          <w:sz w:val="24"/>
          <w:szCs w:val="24"/>
        </w:rPr>
        <w:t>Resourcing of programmes includes not just physical and e-learning resources but also staffing arrangements and access to resources for those who may require it.</w:t>
      </w:r>
    </w:p>
    <w:p w14:paraId="0BDF9158" w14:textId="77777777" w:rsidR="00CE727F" w:rsidRPr="00CE727F" w:rsidRDefault="00CE727F" w:rsidP="00CE727F">
      <w:pPr>
        <w:spacing w:after="0" w:line="240" w:lineRule="auto"/>
        <w:rPr>
          <w:rFonts w:ascii="Arial" w:eastAsia="MS Mincho" w:hAnsi="Arial" w:cs="Arial"/>
          <w:sz w:val="24"/>
          <w:szCs w:val="24"/>
        </w:rPr>
      </w:pPr>
    </w:p>
    <w:p w14:paraId="1AD79937" w14:textId="5A400A64" w:rsidR="00CE727F" w:rsidRPr="002A501E" w:rsidRDefault="00CE727F" w:rsidP="00F34EE9">
      <w:pPr>
        <w:pStyle w:val="ListParagraph"/>
        <w:numPr>
          <w:ilvl w:val="0"/>
          <w:numId w:val="18"/>
        </w:numPr>
        <w:rPr>
          <w:rFonts w:ascii="Arial" w:eastAsia="MS Mincho" w:hAnsi="Arial" w:cs="Arial"/>
          <w:sz w:val="24"/>
          <w:szCs w:val="24"/>
        </w:rPr>
      </w:pPr>
      <w:r w:rsidRPr="002A501E">
        <w:rPr>
          <w:rFonts w:ascii="Arial" w:eastAsia="MS Mincho" w:hAnsi="Arial" w:cs="Arial"/>
          <w:sz w:val="24"/>
          <w:szCs w:val="24"/>
        </w:rPr>
        <w:t>Throughout the three years, these were the key issues arising in apprenticeship assessment</w:t>
      </w:r>
      <w:r w:rsidR="00A7092A">
        <w:rPr>
          <w:rFonts w:ascii="Arial" w:eastAsia="MS Mincho" w:hAnsi="Arial" w:cs="Arial"/>
          <w:sz w:val="24"/>
          <w:szCs w:val="24"/>
        </w:rPr>
        <w:t>s, both</w:t>
      </w:r>
      <w:r w:rsidR="00536957">
        <w:rPr>
          <w:rFonts w:ascii="Arial" w:eastAsia="MS Mincho" w:hAnsi="Arial" w:cs="Arial"/>
          <w:sz w:val="24"/>
          <w:szCs w:val="24"/>
        </w:rPr>
        <w:t xml:space="preserve"> through the</w:t>
      </w:r>
      <w:r w:rsidR="00A7092A">
        <w:rPr>
          <w:rFonts w:ascii="Arial" w:eastAsia="MS Mincho" w:hAnsi="Arial" w:cs="Arial"/>
          <w:sz w:val="24"/>
          <w:szCs w:val="24"/>
        </w:rPr>
        <w:t xml:space="preserve"> major change and approval</w:t>
      </w:r>
      <w:r w:rsidR="00536957">
        <w:rPr>
          <w:rFonts w:ascii="Arial" w:eastAsia="MS Mincho" w:hAnsi="Arial" w:cs="Arial"/>
          <w:sz w:val="24"/>
          <w:szCs w:val="24"/>
        </w:rPr>
        <w:t xml:space="preserve"> processes:</w:t>
      </w:r>
      <w:r w:rsidRPr="002A501E">
        <w:rPr>
          <w:rFonts w:ascii="Arial" w:eastAsia="MS Mincho" w:hAnsi="Arial" w:cs="Arial"/>
          <w:sz w:val="24"/>
          <w:szCs w:val="24"/>
        </w:rPr>
        <w:t xml:space="preserve"> </w:t>
      </w:r>
    </w:p>
    <w:p w14:paraId="5C1D87F4" w14:textId="77777777" w:rsidR="00CE727F" w:rsidRPr="00CE727F" w:rsidRDefault="00CE727F" w:rsidP="00CE727F">
      <w:pPr>
        <w:tabs>
          <w:tab w:val="left" w:pos="4920"/>
        </w:tabs>
        <w:spacing w:after="0" w:line="240" w:lineRule="auto"/>
        <w:rPr>
          <w:rFonts w:ascii="Arial" w:eastAsia="MS Mincho" w:hAnsi="Arial" w:cs="Arial"/>
          <w:sz w:val="24"/>
          <w:szCs w:val="24"/>
        </w:rPr>
      </w:pPr>
    </w:p>
    <w:p w14:paraId="73F58596" w14:textId="65DB9337" w:rsidR="00CE727F" w:rsidRPr="00CE727F" w:rsidRDefault="00CE727F" w:rsidP="00CE727F">
      <w:pPr>
        <w:numPr>
          <w:ilvl w:val="0"/>
          <w:numId w:val="15"/>
        </w:numPr>
        <w:tabs>
          <w:tab w:val="left" w:pos="4920"/>
        </w:tabs>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Apprentices’ ability to access programme resources and/or health and wellbeing resources while in employer settings; </w:t>
      </w:r>
      <w:r w:rsidR="00536957">
        <w:rPr>
          <w:rFonts w:ascii="Arial" w:eastAsia="MS Mincho" w:hAnsi="Arial" w:cs="Arial"/>
          <w:sz w:val="24"/>
          <w:szCs w:val="24"/>
        </w:rPr>
        <w:t>and</w:t>
      </w:r>
    </w:p>
    <w:p w14:paraId="2D12C58D" w14:textId="7452959B" w:rsidR="00CE727F" w:rsidRDefault="00CE727F" w:rsidP="00CE727F">
      <w:pPr>
        <w:numPr>
          <w:ilvl w:val="0"/>
          <w:numId w:val="15"/>
        </w:numPr>
        <w:tabs>
          <w:tab w:val="left" w:pos="4920"/>
        </w:tabs>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Employer partners’ understanding of their specific responsibilities as regards accessible resources, and appropriate staffing levels. </w:t>
      </w:r>
    </w:p>
    <w:p w14:paraId="1F424675" w14:textId="4D7CD3DC" w:rsidR="00A7092A" w:rsidRDefault="00A7092A" w:rsidP="00A7092A">
      <w:pPr>
        <w:tabs>
          <w:tab w:val="left" w:pos="4920"/>
        </w:tabs>
        <w:spacing w:after="0" w:line="240" w:lineRule="auto"/>
        <w:ind w:left="360"/>
        <w:contextualSpacing/>
        <w:rPr>
          <w:rFonts w:ascii="Arial" w:eastAsia="MS Mincho" w:hAnsi="Arial" w:cs="Arial"/>
          <w:sz w:val="24"/>
          <w:szCs w:val="24"/>
        </w:rPr>
      </w:pPr>
    </w:p>
    <w:p w14:paraId="48D88AE5" w14:textId="440822C0" w:rsidR="00A7092A" w:rsidRPr="00A7092A" w:rsidRDefault="00A7092A" w:rsidP="00F34EE9">
      <w:pPr>
        <w:pStyle w:val="ListParagraph"/>
        <w:numPr>
          <w:ilvl w:val="0"/>
          <w:numId w:val="18"/>
        </w:numPr>
        <w:tabs>
          <w:tab w:val="left" w:pos="4920"/>
        </w:tabs>
        <w:contextualSpacing/>
        <w:rPr>
          <w:rFonts w:ascii="Arial" w:eastAsia="MS Mincho" w:hAnsi="Arial" w:cs="Arial"/>
          <w:sz w:val="24"/>
          <w:szCs w:val="24"/>
        </w:rPr>
      </w:pPr>
      <w:r>
        <w:rPr>
          <w:rFonts w:ascii="Arial" w:eastAsia="MS Mincho" w:hAnsi="Arial" w:cs="Arial"/>
          <w:sz w:val="24"/>
          <w:szCs w:val="24"/>
        </w:rPr>
        <w:t xml:space="preserve">Visitors’ focus on these areas is to be expected given that the logistics of apprenticeship programmes – in terms of where </w:t>
      </w:r>
      <w:r w:rsidR="00EF5D5C">
        <w:rPr>
          <w:rFonts w:ascii="Arial" w:eastAsia="MS Mincho" w:hAnsi="Arial" w:cs="Arial"/>
          <w:sz w:val="24"/>
          <w:szCs w:val="24"/>
        </w:rPr>
        <w:t>apprentices</w:t>
      </w:r>
      <w:r>
        <w:rPr>
          <w:rFonts w:ascii="Arial" w:eastAsia="MS Mincho" w:hAnsi="Arial" w:cs="Arial"/>
          <w:sz w:val="24"/>
          <w:szCs w:val="24"/>
        </w:rPr>
        <w:t xml:space="preserve"> are located and how often they are on site at an education provider – are different to other HCPC</w:t>
      </w:r>
      <w:r w:rsidR="00536957">
        <w:rPr>
          <w:rFonts w:ascii="Arial" w:eastAsia="MS Mincho" w:hAnsi="Arial" w:cs="Arial"/>
          <w:sz w:val="24"/>
          <w:szCs w:val="24"/>
        </w:rPr>
        <w:t xml:space="preserve"> </w:t>
      </w:r>
      <w:r>
        <w:rPr>
          <w:rFonts w:ascii="Arial" w:eastAsia="MS Mincho" w:hAnsi="Arial" w:cs="Arial"/>
          <w:sz w:val="24"/>
          <w:szCs w:val="24"/>
        </w:rPr>
        <w:t>approved programmes.</w:t>
      </w:r>
      <w:r w:rsidR="00A96E36">
        <w:rPr>
          <w:rFonts w:ascii="Arial" w:eastAsia="MS Mincho" w:hAnsi="Arial" w:cs="Arial"/>
          <w:sz w:val="24"/>
          <w:szCs w:val="24"/>
        </w:rPr>
        <w:t xml:space="preserve"> HCPC panels are therefore likely to want to explore these issues and ensure that both the HCPC and the various stakeholders have a clear understanding. </w:t>
      </w:r>
      <w:r>
        <w:rPr>
          <w:rFonts w:ascii="Arial" w:eastAsia="MS Mincho" w:hAnsi="Arial" w:cs="Arial"/>
          <w:sz w:val="24"/>
          <w:szCs w:val="24"/>
        </w:rPr>
        <w:t xml:space="preserve"> </w:t>
      </w:r>
    </w:p>
    <w:p w14:paraId="44318804" w14:textId="77777777" w:rsidR="00CE727F" w:rsidRPr="00CE727F" w:rsidRDefault="00CE727F" w:rsidP="00CE727F">
      <w:pPr>
        <w:tabs>
          <w:tab w:val="left" w:pos="4920"/>
        </w:tabs>
        <w:spacing w:after="0" w:line="240" w:lineRule="auto"/>
        <w:rPr>
          <w:rFonts w:ascii="Arial" w:eastAsia="MS Mincho" w:hAnsi="Arial" w:cs="Arial"/>
          <w:sz w:val="24"/>
          <w:szCs w:val="24"/>
        </w:rPr>
      </w:pPr>
      <w:r w:rsidRPr="00CE727F">
        <w:rPr>
          <w:rFonts w:ascii="Arial" w:eastAsia="MS Mincho" w:hAnsi="Arial" w:cs="Arial"/>
          <w:sz w:val="24"/>
          <w:szCs w:val="24"/>
        </w:rPr>
        <w:t xml:space="preserve">   </w:t>
      </w:r>
    </w:p>
    <w:p w14:paraId="3B3BDA78" w14:textId="77777777" w:rsidR="00CE727F" w:rsidRPr="00CE727F" w:rsidRDefault="00CE727F" w:rsidP="00CE727F">
      <w:pPr>
        <w:tabs>
          <w:tab w:val="left" w:pos="4920"/>
        </w:tabs>
        <w:spacing w:after="0" w:line="240" w:lineRule="auto"/>
        <w:rPr>
          <w:rFonts w:ascii="Arial" w:eastAsia="MS Mincho" w:hAnsi="Arial" w:cs="Arial"/>
          <w:sz w:val="24"/>
          <w:szCs w:val="24"/>
          <w:u w:val="single"/>
        </w:rPr>
      </w:pPr>
      <w:r w:rsidRPr="00CE727F">
        <w:rPr>
          <w:rFonts w:ascii="Arial" w:eastAsia="MS Mincho" w:hAnsi="Arial" w:cs="Arial"/>
          <w:sz w:val="24"/>
          <w:szCs w:val="24"/>
          <w:u w:val="single"/>
        </w:rPr>
        <w:t xml:space="preserve">Curriculum and assessment </w:t>
      </w:r>
    </w:p>
    <w:p w14:paraId="0238FF58" w14:textId="77777777" w:rsidR="00CE727F" w:rsidRPr="00CE727F" w:rsidRDefault="00CE727F" w:rsidP="00CE727F">
      <w:pPr>
        <w:tabs>
          <w:tab w:val="left" w:pos="4920"/>
        </w:tabs>
        <w:spacing w:after="0" w:line="240" w:lineRule="auto"/>
        <w:rPr>
          <w:rFonts w:ascii="Arial" w:eastAsia="MS Mincho" w:hAnsi="Arial" w:cs="Arial"/>
          <w:sz w:val="24"/>
          <w:szCs w:val="24"/>
          <w:u w:val="single"/>
        </w:rPr>
      </w:pPr>
    </w:p>
    <w:p w14:paraId="6BA0C5CF" w14:textId="144C8887" w:rsidR="00A96E36" w:rsidRDefault="00CE727F" w:rsidP="00F34EE9">
      <w:pPr>
        <w:pStyle w:val="ListParagraph"/>
        <w:numPr>
          <w:ilvl w:val="0"/>
          <w:numId w:val="18"/>
        </w:numPr>
        <w:tabs>
          <w:tab w:val="left" w:pos="4920"/>
        </w:tabs>
        <w:rPr>
          <w:rFonts w:ascii="Arial" w:eastAsia="MS Mincho" w:hAnsi="Arial" w:cs="Arial"/>
          <w:sz w:val="24"/>
          <w:szCs w:val="24"/>
        </w:rPr>
      </w:pPr>
      <w:r w:rsidRPr="002A501E">
        <w:rPr>
          <w:rFonts w:ascii="Arial" w:eastAsia="MS Mincho" w:hAnsi="Arial" w:cs="Arial"/>
          <w:sz w:val="24"/>
          <w:szCs w:val="24"/>
        </w:rPr>
        <w:t>This area includes the assessment approach taken by education providers and employers, and the allocation of assessment responsibilities between them.</w:t>
      </w:r>
      <w:r w:rsidR="00A96E36">
        <w:rPr>
          <w:rFonts w:ascii="Arial" w:eastAsia="MS Mincho" w:hAnsi="Arial" w:cs="Arial"/>
          <w:sz w:val="24"/>
          <w:szCs w:val="24"/>
        </w:rPr>
        <w:t xml:space="preserve"> </w:t>
      </w:r>
    </w:p>
    <w:p w14:paraId="571E5339" w14:textId="77777777" w:rsidR="00A96E36" w:rsidRDefault="00A96E36" w:rsidP="00A96E36">
      <w:pPr>
        <w:pStyle w:val="ListParagraph"/>
        <w:tabs>
          <w:tab w:val="left" w:pos="4920"/>
        </w:tabs>
        <w:rPr>
          <w:rFonts w:ascii="Arial" w:eastAsia="MS Mincho" w:hAnsi="Arial" w:cs="Arial"/>
          <w:sz w:val="24"/>
          <w:szCs w:val="24"/>
        </w:rPr>
      </w:pPr>
    </w:p>
    <w:p w14:paraId="037EFB13" w14:textId="41D16A9F" w:rsidR="00CC74FD" w:rsidRDefault="00CE727F" w:rsidP="00F34EE9">
      <w:pPr>
        <w:pStyle w:val="ListParagraph"/>
        <w:numPr>
          <w:ilvl w:val="0"/>
          <w:numId w:val="18"/>
        </w:numPr>
        <w:tabs>
          <w:tab w:val="left" w:pos="4920"/>
        </w:tabs>
        <w:rPr>
          <w:rFonts w:ascii="Arial" w:eastAsia="MS Mincho" w:hAnsi="Arial" w:cs="Arial"/>
          <w:sz w:val="24"/>
          <w:szCs w:val="24"/>
        </w:rPr>
      </w:pPr>
      <w:r w:rsidRPr="00A96E36">
        <w:rPr>
          <w:rFonts w:ascii="Arial" w:eastAsia="MS Mincho" w:hAnsi="Arial" w:cs="Arial"/>
          <w:sz w:val="24"/>
          <w:szCs w:val="24"/>
        </w:rPr>
        <w:t>The key recurring issue in this area</w:t>
      </w:r>
      <w:r w:rsidR="00A96E36">
        <w:rPr>
          <w:rFonts w:ascii="Arial" w:eastAsia="MS Mincho" w:hAnsi="Arial" w:cs="Arial"/>
          <w:sz w:val="24"/>
          <w:szCs w:val="24"/>
        </w:rPr>
        <w:t>, across all three years and in both major change and approval,</w:t>
      </w:r>
      <w:r w:rsidRPr="00A96E36">
        <w:rPr>
          <w:rFonts w:ascii="Arial" w:eastAsia="MS Mincho" w:hAnsi="Arial" w:cs="Arial"/>
          <w:sz w:val="24"/>
          <w:szCs w:val="24"/>
        </w:rPr>
        <w:t xml:space="preserve"> has been visitors’ desire to be certain that those carrying out assessment in placement and in employer settings were prepared and qualified to do so. </w:t>
      </w:r>
    </w:p>
    <w:p w14:paraId="19F4294F" w14:textId="4A8182E4" w:rsidR="00CC74FD" w:rsidRPr="00CC74FD" w:rsidRDefault="00CC74FD" w:rsidP="00CC74FD">
      <w:pPr>
        <w:tabs>
          <w:tab w:val="left" w:pos="4920"/>
        </w:tabs>
        <w:rPr>
          <w:rFonts w:ascii="Arial" w:eastAsia="MS Mincho" w:hAnsi="Arial" w:cs="Arial"/>
          <w:sz w:val="24"/>
          <w:szCs w:val="24"/>
        </w:rPr>
      </w:pPr>
    </w:p>
    <w:p w14:paraId="5BB36A8F" w14:textId="367F5309" w:rsidR="00A96E36" w:rsidRPr="00C70C6D" w:rsidRDefault="00C70C6D" w:rsidP="00F34EE9">
      <w:pPr>
        <w:pStyle w:val="ListParagraph"/>
        <w:numPr>
          <w:ilvl w:val="0"/>
          <w:numId w:val="18"/>
        </w:numPr>
        <w:rPr>
          <w:rFonts w:ascii="Arial" w:eastAsia="MS Mincho" w:hAnsi="Arial" w:cs="Arial"/>
          <w:sz w:val="24"/>
          <w:szCs w:val="24"/>
        </w:rPr>
      </w:pPr>
      <w:r>
        <w:rPr>
          <w:rFonts w:ascii="Arial" w:eastAsia="MS Mincho" w:hAnsi="Arial" w:cs="Arial"/>
          <w:sz w:val="24"/>
          <w:szCs w:val="24"/>
        </w:rPr>
        <w:t>The need for further evidence or more clarity regarding assessment is likely a result of apprenticeships tending to have a model for assessment that differs from other programme</w:t>
      </w:r>
      <w:r w:rsidR="003325BF">
        <w:rPr>
          <w:rFonts w:ascii="Arial" w:eastAsia="MS Mincho" w:hAnsi="Arial" w:cs="Arial"/>
          <w:sz w:val="24"/>
          <w:szCs w:val="24"/>
        </w:rPr>
        <w:t>s</w:t>
      </w:r>
      <w:r>
        <w:rPr>
          <w:rFonts w:ascii="Arial" w:eastAsia="MS Mincho" w:hAnsi="Arial" w:cs="Arial"/>
          <w:sz w:val="24"/>
          <w:szCs w:val="24"/>
        </w:rPr>
        <w:t>, i.e. with supervising staff in employer settings often having a more expansive role</w:t>
      </w:r>
      <w:r w:rsidR="003325BF">
        <w:rPr>
          <w:rFonts w:ascii="Arial" w:eastAsia="MS Mincho" w:hAnsi="Arial" w:cs="Arial"/>
          <w:sz w:val="24"/>
          <w:szCs w:val="24"/>
        </w:rPr>
        <w:t>. E</w:t>
      </w:r>
      <w:r w:rsidR="005D3953">
        <w:rPr>
          <w:rFonts w:ascii="Arial" w:eastAsia="MS Mincho" w:hAnsi="Arial" w:cs="Arial"/>
          <w:sz w:val="24"/>
          <w:szCs w:val="24"/>
        </w:rPr>
        <w:t>ducation providers are perhaps</w:t>
      </w:r>
      <w:r>
        <w:rPr>
          <w:rFonts w:ascii="Arial" w:eastAsia="MS Mincho" w:hAnsi="Arial" w:cs="Arial"/>
          <w:sz w:val="24"/>
          <w:szCs w:val="24"/>
        </w:rPr>
        <w:t xml:space="preserve"> more used to the conventional practice educator role. </w:t>
      </w:r>
    </w:p>
    <w:p w14:paraId="27D8A5C4" w14:textId="77777777" w:rsidR="00CE727F" w:rsidRPr="00CE727F" w:rsidRDefault="00CE727F" w:rsidP="00CE727F">
      <w:pPr>
        <w:tabs>
          <w:tab w:val="left" w:pos="4920"/>
        </w:tabs>
        <w:spacing w:after="0" w:line="240" w:lineRule="auto"/>
        <w:rPr>
          <w:rFonts w:ascii="Arial" w:eastAsia="MS Mincho" w:hAnsi="Arial" w:cs="Arial"/>
          <w:sz w:val="24"/>
          <w:szCs w:val="24"/>
        </w:rPr>
      </w:pPr>
    </w:p>
    <w:p w14:paraId="3D5C1D4E" w14:textId="77777777" w:rsidR="00CE727F" w:rsidRPr="00CE727F" w:rsidRDefault="00CE727F" w:rsidP="00CE727F">
      <w:pPr>
        <w:tabs>
          <w:tab w:val="left" w:pos="4920"/>
        </w:tabs>
        <w:spacing w:after="0" w:line="240" w:lineRule="auto"/>
        <w:rPr>
          <w:rFonts w:ascii="Arial" w:eastAsia="MS Mincho" w:hAnsi="Arial" w:cs="Arial"/>
          <w:b/>
          <w:sz w:val="24"/>
          <w:szCs w:val="24"/>
        </w:rPr>
      </w:pPr>
      <w:r w:rsidRPr="00CE727F">
        <w:rPr>
          <w:rFonts w:ascii="Arial" w:eastAsia="MS Mincho" w:hAnsi="Arial" w:cs="Arial"/>
          <w:b/>
          <w:sz w:val="24"/>
          <w:szCs w:val="24"/>
        </w:rPr>
        <w:lastRenderedPageBreak/>
        <w:t>Future indications</w:t>
      </w:r>
    </w:p>
    <w:p w14:paraId="11DD0FA8" w14:textId="77777777" w:rsidR="00CE727F" w:rsidRPr="00CE727F" w:rsidRDefault="00CE727F" w:rsidP="00CE727F">
      <w:pPr>
        <w:tabs>
          <w:tab w:val="left" w:pos="4920"/>
        </w:tabs>
        <w:spacing w:after="0" w:line="240" w:lineRule="auto"/>
        <w:rPr>
          <w:rFonts w:ascii="Arial" w:eastAsia="MS Mincho" w:hAnsi="Arial" w:cs="Arial"/>
          <w:sz w:val="24"/>
          <w:szCs w:val="24"/>
        </w:rPr>
      </w:pPr>
    </w:p>
    <w:p w14:paraId="68AE5D18" w14:textId="3BB4E729" w:rsidR="00CE727F" w:rsidRDefault="00CE727F" w:rsidP="00F34EE9">
      <w:pPr>
        <w:pStyle w:val="ListParagraph"/>
        <w:numPr>
          <w:ilvl w:val="0"/>
          <w:numId w:val="18"/>
        </w:numPr>
        <w:tabs>
          <w:tab w:val="left" w:pos="4920"/>
        </w:tabs>
        <w:rPr>
          <w:rFonts w:ascii="Arial" w:eastAsia="MS Mincho" w:hAnsi="Arial" w:cs="Arial"/>
          <w:sz w:val="24"/>
          <w:szCs w:val="24"/>
        </w:rPr>
      </w:pPr>
      <w:r w:rsidRPr="008F1A5D">
        <w:rPr>
          <w:rFonts w:ascii="Arial" w:eastAsia="MS Mincho" w:hAnsi="Arial" w:cs="Arial"/>
          <w:sz w:val="24"/>
          <w:szCs w:val="24"/>
        </w:rPr>
        <w:t xml:space="preserve">Almost all professions regulated by the HCPC are now approved for apprenticeship standards. As of early February 2021, the clinical scientist apprenticeship standard has been approved by the Institute for Apprenticeships and Technical Education (IATA) but a suitable End Point Assessment Organisation (EPAO) has yet to be appointed. </w:t>
      </w:r>
    </w:p>
    <w:p w14:paraId="2614E41E" w14:textId="77777777" w:rsidR="008F1A5D" w:rsidRDefault="008F1A5D" w:rsidP="008F1A5D">
      <w:pPr>
        <w:pStyle w:val="ListParagraph"/>
        <w:tabs>
          <w:tab w:val="left" w:pos="4920"/>
        </w:tabs>
        <w:rPr>
          <w:rFonts w:ascii="Arial" w:eastAsia="MS Mincho" w:hAnsi="Arial" w:cs="Arial"/>
          <w:sz w:val="24"/>
          <w:szCs w:val="24"/>
        </w:rPr>
      </w:pPr>
    </w:p>
    <w:p w14:paraId="52ED6EF6" w14:textId="77777777" w:rsidR="005D3953" w:rsidRDefault="00422646" w:rsidP="00F34EE9">
      <w:pPr>
        <w:pStyle w:val="ListParagraph"/>
        <w:numPr>
          <w:ilvl w:val="0"/>
          <w:numId w:val="18"/>
        </w:numPr>
        <w:tabs>
          <w:tab w:val="left" w:pos="4920"/>
        </w:tabs>
        <w:rPr>
          <w:rFonts w:ascii="Arial" w:eastAsia="MS Mincho" w:hAnsi="Arial" w:cs="Arial"/>
          <w:sz w:val="24"/>
          <w:szCs w:val="24"/>
        </w:rPr>
      </w:pPr>
      <w:r>
        <w:rPr>
          <w:rFonts w:ascii="Arial" w:eastAsia="MS Mincho" w:hAnsi="Arial" w:cs="Arial"/>
          <w:sz w:val="24"/>
          <w:szCs w:val="24"/>
        </w:rPr>
        <w:t>T</w:t>
      </w:r>
      <w:r w:rsidR="008F1A5D" w:rsidRPr="008F1A5D">
        <w:rPr>
          <w:rFonts w:ascii="Arial" w:eastAsia="MS Mincho" w:hAnsi="Arial" w:cs="Arial"/>
          <w:sz w:val="24"/>
          <w:szCs w:val="24"/>
        </w:rPr>
        <w:t>here are professions that have IATA standard approval but where no apprenticeships are yet in place – arts therapists, dietitians, and speech and language therapists</w:t>
      </w:r>
      <w:r>
        <w:rPr>
          <w:rFonts w:ascii="Arial" w:eastAsia="MS Mincho" w:hAnsi="Arial" w:cs="Arial"/>
          <w:sz w:val="24"/>
          <w:szCs w:val="24"/>
        </w:rPr>
        <w:t xml:space="preserve">. </w:t>
      </w:r>
    </w:p>
    <w:p w14:paraId="40A0FE83" w14:textId="77777777" w:rsidR="005D3953" w:rsidRPr="005D3953" w:rsidRDefault="005D3953" w:rsidP="005D3953">
      <w:pPr>
        <w:pStyle w:val="ListParagraph"/>
        <w:rPr>
          <w:rFonts w:ascii="Arial" w:eastAsia="MS Mincho" w:hAnsi="Arial" w:cs="Arial"/>
          <w:sz w:val="24"/>
          <w:szCs w:val="24"/>
        </w:rPr>
      </w:pPr>
    </w:p>
    <w:p w14:paraId="6138DFF2" w14:textId="7BE31D71" w:rsidR="00422646" w:rsidRDefault="00422646" w:rsidP="00F34EE9">
      <w:pPr>
        <w:pStyle w:val="ListParagraph"/>
        <w:numPr>
          <w:ilvl w:val="0"/>
          <w:numId w:val="18"/>
        </w:numPr>
        <w:tabs>
          <w:tab w:val="left" w:pos="4920"/>
        </w:tabs>
        <w:rPr>
          <w:rFonts w:ascii="Arial" w:eastAsia="MS Mincho" w:hAnsi="Arial" w:cs="Arial"/>
          <w:sz w:val="24"/>
          <w:szCs w:val="24"/>
        </w:rPr>
      </w:pPr>
      <w:r>
        <w:rPr>
          <w:rFonts w:ascii="Arial" w:eastAsia="MS Mincho" w:hAnsi="Arial" w:cs="Arial"/>
          <w:sz w:val="24"/>
          <w:szCs w:val="24"/>
        </w:rPr>
        <w:t xml:space="preserve">However, </w:t>
      </w:r>
      <w:r w:rsidR="008F1A5D" w:rsidRPr="008F1A5D">
        <w:rPr>
          <w:rFonts w:ascii="Arial" w:eastAsia="MS Mincho" w:hAnsi="Arial" w:cs="Arial"/>
          <w:sz w:val="24"/>
          <w:szCs w:val="24"/>
        </w:rPr>
        <w:t xml:space="preserve">the key theme of apprenticeships is that they are becoming more commonplace and mainstream across all professions and education providers. The Executive has made a policy decision that it is broadly appropriate and proportionate to use </w:t>
      </w:r>
      <w:r w:rsidR="003325BF">
        <w:rPr>
          <w:rFonts w:ascii="Arial" w:eastAsia="MS Mincho" w:hAnsi="Arial" w:cs="Arial"/>
          <w:sz w:val="24"/>
          <w:szCs w:val="24"/>
        </w:rPr>
        <w:t xml:space="preserve">the </w:t>
      </w:r>
      <w:r w:rsidR="008F1A5D" w:rsidRPr="008F1A5D">
        <w:rPr>
          <w:rFonts w:ascii="Arial" w:eastAsia="MS Mincho" w:hAnsi="Arial" w:cs="Arial"/>
          <w:sz w:val="24"/>
          <w:szCs w:val="24"/>
        </w:rPr>
        <w:t xml:space="preserve">major change </w:t>
      </w:r>
      <w:r w:rsidR="003325BF">
        <w:rPr>
          <w:rFonts w:ascii="Arial" w:eastAsia="MS Mincho" w:hAnsi="Arial" w:cs="Arial"/>
          <w:sz w:val="24"/>
          <w:szCs w:val="24"/>
        </w:rPr>
        <w:t xml:space="preserve">process </w:t>
      </w:r>
      <w:r w:rsidR="008F1A5D" w:rsidRPr="008F1A5D">
        <w:rPr>
          <w:rFonts w:ascii="Arial" w:eastAsia="MS Mincho" w:hAnsi="Arial" w:cs="Arial"/>
          <w:sz w:val="24"/>
          <w:szCs w:val="24"/>
        </w:rPr>
        <w:t>to assess new degree apprenticeships unless there is an indication that a particular case will be more complex</w:t>
      </w:r>
      <w:r>
        <w:rPr>
          <w:rFonts w:ascii="Arial" w:eastAsia="MS Mincho" w:hAnsi="Arial" w:cs="Arial"/>
          <w:sz w:val="24"/>
          <w:szCs w:val="24"/>
        </w:rPr>
        <w:t>. Examples of such indications include:</w:t>
      </w:r>
      <w:r w:rsidR="008F1A5D" w:rsidRPr="008F1A5D">
        <w:rPr>
          <w:rFonts w:ascii="Arial" w:eastAsia="MS Mincho" w:hAnsi="Arial" w:cs="Arial"/>
          <w:sz w:val="24"/>
          <w:szCs w:val="24"/>
        </w:rPr>
        <w:t xml:space="preserve"> </w:t>
      </w:r>
    </w:p>
    <w:p w14:paraId="3021A259" w14:textId="77777777" w:rsidR="00422646" w:rsidRPr="00F3026D" w:rsidRDefault="00422646" w:rsidP="00F3026D">
      <w:pPr>
        <w:pStyle w:val="ListParagraph"/>
        <w:rPr>
          <w:rFonts w:ascii="Arial" w:eastAsia="MS Mincho" w:hAnsi="Arial" w:cs="Arial"/>
          <w:sz w:val="24"/>
          <w:szCs w:val="24"/>
        </w:rPr>
      </w:pPr>
    </w:p>
    <w:p w14:paraId="2DA64C44" w14:textId="7D0C4217" w:rsidR="00422646" w:rsidRDefault="00422646" w:rsidP="00F3026D">
      <w:pPr>
        <w:pStyle w:val="ListParagraph"/>
        <w:numPr>
          <w:ilvl w:val="0"/>
          <w:numId w:val="21"/>
        </w:numPr>
        <w:tabs>
          <w:tab w:val="left" w:pos="4920"/>
        </w:tabs>
        <w:rPr>
          <w:rFonts w:ascii="Arial" w:eastAsia="MS Mincho" w:hAnsi="Arial" w:cs="Arial"/>
          <w:sz w:val="24"/>
          <w:szCs w:val="24"/>
        </w:rPr>
      </w:pPr>
      <w:r>
        <w:rPr>
          <w:rFonts w:ascii="Arial" w:eastAsia="MS Mincho" w:hAnsi="Arial" w:cs="Arial"/>
          <w:sz w:val="24"/>
          <w:szCs w:val="24"/>
        </w:rPr>
        <w:t>I</w:t>
      </w:r>
      <w:r w:rsidR="008F1A5D" w:rsidRPr="008F1A5D">
        <w:rPr>
          <w:rFonts w:ascii="Arial" w:eastAsia="MS Mincho" w:hAnsi="Arial" w:cs="Arial"/>
          <w:sz w:val="24"/>
          <w:szCs w:val="24"/>
        </w:rPr>
        <w:t>f there is no history at an institution of a particular profession</w:t>
      </w:r>
      <w:r>
        <w:rPr>
          <w:rFonts w:ascii="Arial" w:eastAsia="MS Mincho" w:hAnsi="Arial" w:cs="Arial"/>
          <w:sz w:val="24"/>
          <w:szCs w:val="24"/>
        </w:rPr>
        <w:t>;</w:t>
      </w:r>
      <w:r w:rsidR="008F1A5D" w:rsidRPr="008F1A5D">
        <w:rPr>
          <w:rFonts w:ascii="Arial" w:eastAsia="MS Mincho" w:hAnsi="Arial" w:cs="Arial"/>
          <w:sz w:val="24"/>
          <w:szCs w:val="24"/>
        </w:rPr>
        <w:t xml:space="preserve"> or </w:t>
      </w:r>
    </w:p>
    <w:p w14:paraId="0A542825" w14:textId="5A506CC8" w:rsidR="008F1A5D" w:rsidRPr="008F1A5D" w:rsidRDefault="00422646" w:rsidP="00F3026D">
      <w:pPr>
        <w:pStyle w:val="ListParagraph"/>
        <w:numPr>
          <w:ilvl w:val="0"/>
          <w:numId w:val="21"/>
        </w:numPr>
        <w:tabs>
          <w:tab w:val="left" w:pos="4920"/>
        </w:tabs>
        <w:rPr>
          <w:rFonts w:ascii="Arial" w:eastAsia="MS Mincho" w:hAnsi="Arial" w:cs="Arial"/>
          <w:sz w:val="24"/>
          <w:szCs w:val="24"/>
        </w:rPr>
      </w:pPr>
      <w:r>
        <w:rPr>
          <w:rFonts w:ascii="Arial" w:eastAsia="MS Mincho" w:hAnsi="Arial" w:cs="Arial"/>
          <w:sz w:val="24"/>
          <w:szCs w:val="24"/>
        </w:rPr>
        <w:t>I</w:t>
      </w:r>
      <w:r w:rsidR="008F1A5D" w:rsidRPr="008F1A5D">
        <w:rPr>
          <w:rFonts w:ascii="Arial" w:eastAsia="MS Mincho" w:hAnsi="Arial" w:cs="Arial"/>
          <w:sz w:val="24"/>
          <w:szCs w:val="24"/>
        </w:rPr>
        <w:t xml:space="preserve">f the education provider is itself new to HCPC-regulated professions.    </w:t>
      </w:r>
    </w:p>
    <w:p w14:paraId="25208718" w14:textId="224AEC8F" w:rsidR="00CE727F" w:rsidRPr="00CE727F" w:rsidRDefault="00CE727F" w:rsidP="00CE727F">
      <w:pPr>
        <w:tabs>
          <w:tab w:val="left" w:pos="4920"/>
        </w:tabs>
        <w:spacing w:after="0" w:line="240" w:lineRule="auto"/>
        <w:rPr>
          <w:rFonts w:ascii="Arial" w:eastAsia="MS Mincho" w:hAnsi="Arial" w:cs="Arial"/>
          <w:sz w:val="24"/>
          <w:szCs w:val="24"/>
        </w:rPr>
      </w:pPr>
    </w:p>
    <w:p w14:paraId="6BEB790F" w14:textId="77777777" w:rsidR="00CE727F" w:rsidRPr="00CE727F" w:rsidRDefault="00CE727F" w:rsidP="00CE727F">
      <w:pPr>
        <w:tabs>
          <w:tab w:val="left" w:pos="4920"/>
        </w:tabs>
        <w:spacing w:after="0" w:line="240" w:lineRule="auto"/>
        <w:rPr>
          <w:rFonts w:ascii="Arial" w:eastAsia="MS Mincho" w:hAnsi="Arial" w:cs="Arial"/>
          <w:b/>
          <w:sz w:val="24"/>
          <w:szCs w:val="24"/>
        </w:rPr>
      </w:pPr>
      <w:r w:rsidRPr="00CE727F">
        <w:rPr>
          <w:rFonts w:ascii="Arial" w:eastAsia="MS Mincho" w:hAnsi="Arial" w:cs="Arial"/>
          <w:b/>
          <w:sz w:val="24"/>
          <w:szCs w:val="24"/>
        </w:rPr>
        <w:t>Conclusions and recommendations</w:t>
      </w:r>
    </w:p>
    <w:p w14:paraId="43903061" w14:textId="77777777" w:rsidR="00CE727F" w:rsidRPr="00CE727F" w:rsidRDefault="00CE727F" w:rsidP="00CE727F">
      <w:pPr>
        <w:tabs>
          <w:tab w:val="left" w:pos="4920"/>
        </w:tabs>
        <w:spacing w:after="0" w:line="240" w:lineRule="auto"/>
        <w:rPr>
          <w:rFonts w:ascii="Arial" w:eastAsia="MS Mincho" w:hAnsi="Arial" w:cs="Arial"/>
          <w:sz w:val="24"/>
          <w:szCs w:val="24"/>
        </w:rPr>
      </w:pPr>
    </w:p>
    <w:p w14:paraId="0D9CE3DD" w14:textId="322F0573" w:rsidR="00CE727F" w:rsidRPr="008F1A5D" w:rsidRDefault="00CE727F" w:rsidP="00F34EE9">
      <w:pPr>
        <w:pStyle w:val="ListParagraph"/>
        <w:numPr>
          <w:ilvl w:val="0"/>
          <w:numId w:val="18"/>
        </w:numPr>
        <w:tabs>
          <w:tab w:val="left" w:pos="4920"/>
        </w:tabs>
        <w:rPr>
          <w:rFonts w:ascii="Arial" w:eastAsia="MS Mincho" w:hAnsi="Arial" w:cs="Arial"/>
          <w:sz w:val="24"/>
          <w:szCs w:val="24"/>
        </w:rPr>
      </w:pPr>
      <w:r w:rsidRPr="008F1A5D">
        <w:rPr>
          <w:rFonts w:ascii="Arial" w:eastAsia="MS Mincho" w:hAnsi="Arial" w:cs="Arial"/>
          <w:sz w:val="24"/>
          <w:szCs w:val="24"/>
        </w:rPr>
        <w:t xml:space="preserve">Looking across the three full years in which we have been assessing apprenticeship programmes, it would appear that we have made significant advances in the way we carry out such assessments. </w:t>
      </w:r>
    </w:p>
    <w:p w14:paraId="56DE5AF8" w14:textId="77777777" w:rsidR="00CE727F" w:rsidRPr="00CE727F" w:rsidRDefault="00CE727F" w:rsidP="00CE727F">
      <w:pPr>
        <w:tabs>
          <w:tab w:val="left" w:pos="4920"/>
        </w:tabs>
        <w:spacing w:after="0" w:line="240" w:lineRule="auto"/>
        <w:rPr>
          <w:rFonts w:ascii="Arial" w:eastAsia="MS Mincho" w:hAnsi="Arial" w:cs="Arial"/>
          <w:sz w:val="24"/>
          <w:szCs w:val="24"/>
        </w:rPr>
      </w:pPr>
    </w:p>
    <w:p w14:paraId="2B54B316" w14:textId="2E771501" w:rsidR="00CE727F" w:rsidRPr="008F1A5D" w:rsidRDefault="00CE727F" w:rsidP="00F34EE9">
      <w:pPr>
        <w:pStyle w:val="ListParagraph"/>
        <w:numPr>
          <w:ilvl w:val="0"/>
          <w:numId w:val="18"/>
        </w:numPr>
        <w:tabs>
          <w:tab w:val="left" w:pos="4920"/>
        </w:tabs>
        <w:rPr>
          <w:rFonts w:ascii="Arial" w:eastAsia="MS Mincho" w:hAnsi="Arial" w:cs="Arial"/>
          <w:sz w:val="24"/>
          <w:szCs w:val="24"/>
        </w:rPr>
      </w:pPr>
      <w:r w:rsidRPr="008F1A5D">
        <w:rPr>
          <w:rFonts w:ascii="Arial" w:eastAsia="MS Mincho" w:hAnsi="Arial" w:cs="Arial"/>
          <w:sz w:val="24"/>
          <w:szCs w:val="24"/>
        </w:rPr>
        <w:t xml:space="preserve">For example, in adapting the general principles by which we assessed apprenticeships we maintained the integrity of our assessment and our processes while avoiding a disproportionate and undue burden on our education provider partners, and imposing unnecessary costs on the HCPC itself through lower visitor fees and staff time. </w:t>
      </w:r>
    </w:p>
    <w:p w14:paraId="6B672868" w14:textId="77777777" w:rsidR="00CE727F" w:rsidRPr="00CE727F" w:rsidRDefault="00CE727F" w:rsidP="00CE727F">
      <w:pPr>
        <w:tabs>
          <w:tab w:val="left" w:pos="4920"/>
        </w:tabs>
        <w:spacing w:after="0" w:line="240" w:lineRule="auto"/>
        <w:rPr>
          <w:rFonts w:ascii="Arial" w:eastAsia="MS Mincho" w:hAnsi="Arial" w:cs="Arial"/>
          <w:sz w:val="24"/>
          <w:szCs w:val="24"/>
        </w:rPr>
      </w:pPr>
    </w:p>
    <w:p w14:paraId="6F8620AE" w14:textId="201D4A4C" w:rsidR="00CE727F" w:rsidRDefault="00CE727F" w:rsidP="00F34EE9">
      <w:pPr>
        <w:pStyle w:val="ListParagraph"/>
        <w:numPr>
          <w:ilvl w:val="0"/>
          <w:numId w:val="18"/>
        </w:numPr>
        <w:tabs>
          <w:tab w:val="left" w:pos="4920"/>
        </w:tabs>
        <w:rPr>
          <w:rFonts w:ascii="Arial" w:eastAsia="MS Mincho" w:hAnsi="Arial" w:cs="Arial"/>
          <w:sz w:val="24"/>
          <w:szCs w:val="24"/>
        </w:rPr>
      </w:pPr>
      <w:r w:rsidRPr="008F1A5D">
        <w:rPr>
          <w:rFonts w:ascii="Arial" w:eastAsia="MS Mincho" w:hAnsi="Arial" w:cs="Arial"/>
          <w:sz w:val="24"/>
          <w:szCs w:val="24"/>
        </w:rPr>
        <w:t xml:space="preserve">Based on the analysis of both 2019-20 and a comparison across all three years, there is no reason to believe that these general principles are not serving our purposes. </w:t>
      </w:r>
      <w:r w:rsidR="005D3953">
        <w:rPr>
          <w:rFonts w:ascii="Arial" w:eastAsia="MS Mincho" w:hAnsi="Arial" w:cs="Arial"/>
          <w:sz w:val="24"/>
          <w:szCs w:val="24"/>
        </w:rPr>
        <w:t>We have not received</w:t>
      </w:r>
      <w:r w:rsidRPr="008F1A5D">
        <w:rPr>
          <w:rFonts w:ascii="Arial" w:eastAsia="MS Mincho" w:hAnsi="Arial" w:cs="Arial"/>
          <w:sz w:val="24"/>
          <w:szCs w:val="24"/>
        </w:rPr>
        <w:t xml:space="preserve"> negative feedback from education providers about this approach to taking a proportionate response to the risk involved. </w:t>
      </w:r>
      <w:r w:rsidR="003325BF">
        <w:rPr>
          <w:rFonts w:ascii="Arial" w:eastAsia="MS Mincho" w:hAnsi="Arial" w:cs="Arial"/>
          <w:sz w:val="24"/>
          <w:szCs w:val="24"/>
        </w:rPr>
        <w:t>Anecdotally, s</w:t>
      </w:r>
      <w:r w:rsidRPr="008F1A5D">
        <w:rPr>
          <w:rFonts w:ascii="Arial" w:eastAsia="MS Mincho" w:hAnsi="Arial" w:cs="Arial"/>
          <w:sz w:val="24"/>
          <w:szCs w:val="24"/>
        </w:rPr>
        <w:t>ome visitors have expressed concerns</w:t>
      </w:r>
      <w:r w:rsidR="003325BF">
        <w:rPr>
          <w:rFonts w:ascii="Arial" w:eastAsia="MS Mincho" w:hAnsi="Arial" w:cs="Arial"/>
          <w:sz w:val="24"/>
          <w:szCs w:val="24"/>
        </w:rPr>
        <w:t xml:space="preserve"> to the Executive</w:t>
      </w:r>
      <w:r w:rsidRPr="008F1A5D">
        <w:rPr>
          <w:rFonts w:ascii="Arial" w:eastAsia="MS Mincho" w:hAnsi="Arial" w:cs="Arial"/>
          <w:sz w:val="24"/>
          <w:szCs w:val="24"/>
        </w:rPr>
        <w:t xml:space="preserve"> that </w:t>
      </w:r>
      <w:r w:rsidR="003325BF">
        <w:rPr>
          <w:rFonts w:ascii="Arial" w:eastAsia="MS Mincho" w:hAnsi="Arial" w:cs="Arial"/>
          <w:sz w:val="24"/>
          <w:szCs w:val="24"/>
        </w:rPr>
        <w:t xml:space="preserve">the </w:t>
      </w:r>
      <w:r w:rsidRPr="008F1A5D">
        <w:rPr>
          <w:rFonts w:ascii="Arial" w:eastAsia="MS Mincho" w:hAnsi="Arial" w:cs="Arial"/>
          <w:sz w:val="24"/>
          <w:szCs w:val="24"/>
        </w:rPr>
        <w:t xml:space="preserve">major change </w:t>
      </w:r>
      <w:r w:rsidR="003325BF">
        <w:rPr>
          <w:rFonts w:ascii="Arial" w:eastAsia="MS Mincho" w:hAnsi="Arial" w:cs="Arial"/>
          <w:sz w:val="24"/>
          <w:szCs w:val="24"/>
        </w:rPr>
        <w:t xml:space="preserve">process </w:t>
      </w:r>
      <w:r w:rsidRPr="008F1A5D">
        <w:rPr>
          <w:rFonts w:ascii="Arial" w:eastAsia="MS Mincho" w:hAnsi="Arial" w:cs="Arial"/>
          <w:sz w:val="24"/>
          <w:szCs w:val="24"/>
        </w:rPr>
        <w:t>is not an appropriate means of assessing degree apprenticeships, but as noted through this report there are means available by which the risks involved can be managed.</w:t>
      </w:r>
      <w:r w:rsidR="00EC70B2">
        <w:rPr>
          <w:rFonts w:ascii="Arial" w:eastAsia="MS Mincho" w:hAnsi="Arial" w:cs="Arial"/>
          <w:sz w:val="24"/>
          <w:szCs w:val="24"/>
        </w:rPr>
        <w:t xml:space="preserve"> Education providers have shown that they are able to submit appropriate evidence to demonstrate that they continue to meet the standards.  </w:t>
      </w:r>
      <w:r w:rsidRPr="008F1A5D">
        <w:rPr>
          <w:rFonts w:ascii="Arial" w:eastAsia="MS Mincho" w:hAnsi="Arial" w:cs="Arial"/>
          <w:sz w:val="24"/>
          <w:szCs w:val="24"/>
        </w:rPr>
        <w:t xml:space="preserve">  </w:t>
      </w:r>
    </w:p>
    <w:p w14:paraId="54F8DD02" w14:textId="082DB06F" w:rsidR="00945A5F" w:rsidRPr="00945A5F" w:rsidRDefault="00945A5F" w:rsidP="00945A5F">
      <w:pPr>
        <w:pStyle w:val="ListParagraph"/>
        <w:rPr>
          <w:rFonts w:ascii="Arial" w:eastAsia="MS Mincho" w:hAnsi="Arial" w:cs="Arial"/>
          <w:sz w:val="24"/>
          <w:szCs w:val="24"/>
        </w:rPr>
      </w:pPr>
      <w:r w:rsidRPr="00945A5F">
        <w:rPr>
          <w:rFonts w:ascii="Arial" w:eastAsia="MS Mincho" w:hAnsi="Arial" w:cs="Arial"/>
          <w:noProof/>
          <w:sz w:val="24"/>
          <w:szCs w:val="24"/>
          <w:lang w:eastAsia="en-GB"/>
        </w:rPr>
        <w:lastRenderedPageBreak/>
        <mc:AlternateContent>
          <mc:Choice Requires="wps">
            <w:drawing>
              <wp:anchor distT="45720" distB="45720" distL="114300" distR="114300" simplePos="0" relativeHeight="251663360" behindDoc="0" locked="0" layoutInCell="1" allowOverlap="1" wp14:anchorId="5BD656CF" wp14:editId="56B4D3C2">
                <wp:simplePos x="0" y="0"/>
                <wp:positionH relativeFrom="margin">
                  <wp:align>right</wp:align>
                </wp:positionH>
                <wp:positionV relativeFrom="paragraph">
                  <wp:posOffset>175260</wp:posOffset>
                </wp:positionV>
                <wp:extent cx="5516880" cy="1404620"/>
                <wp:effectExtent l="0" t="0" r="2667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404620"/>
                        </a:xfrm>
                        <a:prstGeom prst="rect">
                          <a:avLst/>
                        </a:prstGeom>
                        <a:solidFill>
                          <a:srgbClr val="FFFFFF"/>
                        </a:solidFill>
                        <a:ln w="9525">
                          <a:solidFill>
                            <a:srgbClr val="000000"/>
                          </a:solidFill>
                          <a:miter lim="800000"/>
                          <a:headEnd/>
                          <a:tailEnd/>
                        </a:ln>
                      </wps:spPr>
                      <wps:txbx>
                        <w:txbxContent>
                          <w:p w14:paraId="1C751CF4" w14:textId="77777777" w:rsidR="00945A5F" w:rsidRPr="00CE727F" w:rsidRDefault="00945A5F" w:rsidP="00945A5F">
                            <w:pPr>
                              <w:tabs>
                                <w:tab w:val="left" w:pos="4920"/>
                              </w:tabs>
                              <w:spacing w:after="0" w:line="240" w:lineRule="auto"/>
                              <w:rPr>
                                <w:rFonts w:ascii="Arial" w:eastAsia="MS Mincho" w:hAnsi="Arial" w:cs="Arial"/>
                                <w:b/>
                                <w:sz w:val="24"/>
                                <w:szCs w:val="24"/>
                              </w:rPr>
                            </w:pPr>
                            <w:r w:rsidRPr="00CE727F">
                              <w:rPr>
                                <w:rFonts w:ascii="Arial" w:eastAsia="MS Mincho" w:hAnsi="Arial" w:cs="Arial"/>
                                <w:b/>
                                <w:sz w:val="24"/>
                                <w:szCs w:val="24"/>
                              </w:rPr>
                              <w:t>Recommendations</w:t>
                            </w:r>
                          </w:p>
                          <w:p w14:paraId="53E46FBE" w14:textId="77777777" w:rsidR="00945A5F" w:rsidRPr="00CE727F" w:rsidRDefault="00945A5F" w:rsidP="00945A5F">
                            <w:pPr>
                              <w:tabs>
                                <w:tab w:val="left" w:pos="4920"/>
                              </w:tabs>
                              <w:spacing w:after="0" w:line="240" w:lineRule="auto"/>
                              <w:rPr>
                                <w:rFonts w:ascii="Arial" w:eastAsia="MS Mincho" w:hAnsi="Arial" w:cs="Arial"/>
                                <w:sz w:val="24"/>
                                <w:szCs w:val="24"/>
                              </w:rPr>
                            </w:pPr>
                          </w:p>
                          <w:p w14:paraId="7D9FA137" w14:textId="77777777" w:rsidR="00945A5F" w:rsidRPr="00F3026D" w:rsidRDefault="00945A5F" w:rsidP="00945A5F">
                            <w:pPr>
                              <w:pStyle w:val="ListParagraph"/>
                              <w:numPr>
                                <w:ilvl w:val="0"/>
                                <w:numId w:val="18"/>
                              </w:numPr>
                              <w:tabs>
                                <w:tab w:val="left" w:pos="4920"/>
                              </w:tabs>
                              <w:contextualSpacing/>
                              <w:rPr>
                                <w:rFonts w:ascii="Arial" w:eastAsia="MS Mincho" w:hAnsi="Arial" w:cs="Arial"/>
                                <w:sz w:val="24"/>
                                <w:szCs w:val="24"/>
                              </w:rPr>
                            </w:pPr>
                            <w:r w:rsidRPr="00F3026D">
                              <w:rPr>
                                <w:rFonts w:ascii="Arial" w:eastAsia="MS Mincho" w:hAnsi="Arial" w:cs="Arial"/>
                                <w:sz w:val="24"/>
                                <w:szCs w:val="24"/>
                              </w:rPr>
                              <w:t>Encourage Education Officers to focus on communications with education providers in the early stages of degree apprenticeships, to ensure education providers have a clear understanding of submission requirements</w:t>
                            </w:r>
                            <w:r>
                              <w:rPr>
                                <w:rFonts w:ascii="Arial" w:eastAsia="MS Mincho" w:hAnsi="Arial" w:cs="Arial"/>
                                <w:sz w:val="24"/>
                                <w:szCs w:val="24"/>
                              </w:rPr>
                              <w:t>, and reduce the number of additional documentation requests</w:t>
                            </w:r>
                            <w:r w:rsidRPr="00F3026D">
                              <w:rPr>
                                <w:rFonts w:ascii="Arial" w:eastAsia="MS Mincho" w:hAnsi="Arial" w:cs="Arial"/>
                                <w:sz w:val="24"/>
                                <w:szCs w:val="24"/>
                              </w:rPr>
                              <w:t>.</w:t>
                            </w:r>
                            <w:r w:rsidRPr="00F3026D">
                              <w:rPr>
                                <w:rFonts w:ascii="Arial" w:eastAsia="MS Mincho" w:hAnsi="Arial" w:cs="Arial"/>
                                <w:sz w:val="24"/>
                                <w:szCs w:val="24"/>
                              </w:rPr>
                              <w:br/>
                            </w:r>
                          </w:p>
                          <w:p w14:paraId="6FF8A8F9" w14:textId="77777777" w:rsidR="00945A5F" w:rsidRPr="00CE727F" w:rsidRDefault="00945A5F" w:rsidP="00945A5F">
                            <w:pPr>
                              <w:numPr>
                                <w:ilvl w:val="0"/>
                                <w:numId w:val="18"/>
                              </w:numPr>
                              <w:tabs>
                                <w:tab w:val="left" w:pos="4920"/>
                              </w:tabs>
                              <w:spacing w:after="0" w:line="240" w:lineRule="auto"/>
                              <w:contextualSpacing/>
                              <w:rPr>
                                <w:rFonts w:ascii="Arial" w:eastAsia="MS Mincho" w:hAnsi="Arial" w:cs="Arial"/>
                                <w:sz w:val="24"/>
                                <w:szCs w:val="24"/>
                              </w:rPr>
                            </w:pPr>
                            <w:r w:rsidRPr="00CE727F">
                              <w:rPr>
                                <w:rFonts w:ascii="Arial" w:eastAsia="MS Mincho" w:hAnsi="Arial" w:cs="Arial"/>
                                <w:sz w:val="24"/>
                                <w:szCs w:val="24"/>
                              </w:rPr>
                              <w:t>Use the findings noted above around ongoing themes in apprenticeship assessment to focus Executives’ and visitors’ work on areas likely to need attention.</w:t>
                            </w:r>
                          </w:p>
                          <w:p w14:paraId="31774B2C" w14:textId="77777777" w:rsidR="00945A5F" w:rsidRPr="00CE727F" w:rsidRDefault="00945A5F" w:rsidP="00945A5F">
                            <w:pPr>
                              <w:tabs>
                                <w:tab w:val="left" w:pos="4920"/>
                              </w:tabs>
                              <w:spacing w:after="0" w:line="240" w:lineRule="auto"/>
                              <w:ind w:left="720"/>
                              <w:contextualSpacing/>
                              <w:rPr>
                                <w:rFonts w:ascii="Arial" w:eastAsia="MS Mincho" w:hAnsi="Arial" w:cs="Arial"/>
                                <w:sz w:val="24"/>
                                <w:szCs w:val="24"/>
                              </w:rPr>
                            </w:pPr>
                          </w:p>
                          <w:p w14:paraId="488BB46B" w14:textId="77777777" w:rsidR="00945A5F" w:rsidRPr="00CE727F" w:rsidRDefault="00945A5F" w:rsidP="00945A5F">
                            <w:pPr>
                              <w:numPr>
                                <w:ilvl w:val="0"/>
                                <w:numId w:val="18"/>
                              </w:numPr>
                              <w:tabs>
                                <w:tab w:val="left" w:pos="4920"/>
                              </w:tabs>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Consider proactive communication updates for education providers around the best way to evidence such cases and what they can expect in the process. This is especially important in light of the still considerable number of withdrawals from major change assessment processes, and the continuing uncertainty around COVID-19 and its impact on programmes and institutions. </w:t>
                            </w:r>
                          </w:p>
                          <w:p w14:paraId="32955A1E" w14:textId="77777777" w:rsidR="00945A5F" w:rsidRPr="00CE727F" w:rsidRDefault="00945A5F" w:rsidP="00945A5F">
                            <w:pPr>
                              <w:spacing w:after="0" w:line="240" w:lineRule="auto"/>
                              <w:ind w:left="720"/>
                              <w:contextualSpacing/>
                              <w:rPr>
                                <w:rFonts w:ascii="Arial" w:eastAsia="MS Mincho" w:hAnsi="Arial" w:cs="Arial"/>
                                <w:sz w:val="24"/>
                                <w:szCs w:val="24"/>
                              </w:rPr>
                            </w:pPr>
                          </w:p>
                          <w:p w14:paraId="26AF044C" w14:textId="77777777" w:rsidR="00945A5F" w:rsidRPr="00CE727F" w:rsidRDefault="00945A5F" w:rsidP="00945A5F">
                            <w:pPr>
                              <w:numPr>
                                <w:ilvl w:val="0"/>
                                <w:numId w:val="18"/>
                              </w:numPr>
                              <w:tabs>
                                <w:tab w:val="left" w:pos="4920"/>
                              </w:tabs>
                              <w:spacing w:after="0" w:line="240" w:lineRule="auto"/>
                              <w:contextualSpacing/>
                              <w:rPr>
                                <w:rFonts w:ascii="Arial" w:eastAsia="MS Mincho" w:hAnsi="Arial" w:cs="Arial"/>
                                <w:sz w:val="24"/>
                                <w:szCs w:val="24"/>
                              </w:rPr>
                            </w:pPr>
                            <w:r w:rsidRPr="00CE727F">
                              <w:rPr>
                                <w:rFonts w:ascii="Arial" w:eastAsia="MS Mincho" w:hAnsi="Arial" w:cs="Arial"/>
                                <w:sz w:val="24"/>
                                <w:szCs w:val="24"/>
                              </w:rPr>
                              <w:t>Continue to carefully and regularly monitor the number and type of apprenticeship programme approval requests so that we have a clear idea of that area of work as we go into the new quality assurance regime in 2021-22.</w:t>
                            </w:r>
                          </w:p>
                          <w:p w14:paraId="23449175" w14:textId="77777777" w:rsidR="00945A5F" w:rsidRPr="00CE727F" w:rsidRDefault="00945A5F" w:rsidP="00945A5F">
                            <w:pPr>
                              <w:tabs>
                                <w:tab w:val="left" w:pos="4920"/>
                              </w:tabs>
                              <w:spacing w:after="0" w:line="240" w:lineRule="auto"/>
                              <w:rPr>
                                <w:rFonts w:ascii="Arial" w:eastAsia="MS Mincho" w:hAnsi="Arial" w:cs="Arial"/>
                                <w:sz w:val="24"/>
                                <w:szCs w:val="24"/>
                              </w:rPr>
                            </w:pPr>
                          </w:p>
                          <w:p w14:paraId="188CF1AD" w14:textId="16B39814" w:rsidR="00945A5F" w:rsidRPr="00CE727F" w:rsidRDefault="00945A5F" w:rsidP="00945A5F">
                            <w:pPr>
                              <w:numPr>
                                <w:ilvl w:val="0"/>
                                <w:numId w:val="18"/>
                              </w:numPr>
                              <w:tabs>
                                <w:tab w:val="left" w:pos="4920"/>
                              </w:tabs>
                              <w:spacing w:after="0" w:line="240" w:lineRule="auto"/>
                              <w:contextualSpacing/>
                              <w:rPr>
                                <w:rFonts w:ascii="Arial" w:eastAsia="MS Mincho" w:hAnsi="Arial" w:cs="Arial"/>
                                <w:sz w:val="24"/>
                                <w:szCs w:val="24"/>
                              </w:rPr>
                            </w:pPr>
                            <w:r w:rsidRPr="00CE727F">
                              <w:rPr>
                                <w:rFonts w:ascii="Arial" w:eastAsia="MS Mincho" w:hAnsi="Arial" w:cs="Arial"/>
                                <w:sz w:val="24"/>
                                <w:szCs w:val="24"/>
                              </w:rPr>
                              <w:t>Investigate</w:t>
                            </w:r>
                            <w:r w:rsidR="005D3953">
                              <w:rPr>
                                <w:rFonts w:ascii="Arial" w:eastAsia="MS Mincho" w:hAnsi="Arial" w:cs="Arial"/>
                                <w:sz w:val="24"/>
                                <w:szCs w:val="24"/>
                              </w:rPr>
                              <w:t xml:space="preserve"> and understand</w:t>
                            </w:r>
                            <w:r w:rsidRPr="00CE727F">
                              <w:rPr>
                                <w:rFonts w:ascii="Arial" w:eastAsia="MS Mincho" w:hAnsi="Arial" w:cs="Arial"/>
                                <w:sz w:val="24"/>
                                <w:szCs w:val="24"/>
                              </w:rPr>
                              <w:t xml:space="preserve"> why there has been relatively little take-up of apprenticeship programmes even in those professions where IATA has approved an apprenticeship standard.  </w:t>
                            </w:r>
                          </w:p>
                          <w:p w14:paraId="0070F32D" w14:textId="30575E0F" w:rsidR="00945A5F" w:rsidRDefault="00945A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D656CF" id="_x0000_s1027" type="#_x0000_t202" style="position:absolute;left:0;text-align:left;margin-left:383.2pt;margin-top:13.8pt;width:434.4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">
                <v:textbox style="mso-fit-shape-to-text:t">
                  <w:txbxContent>
                    <w:p w14:paraId="1C751CF4" w14:textId="77777777" w:rsidR="00945A5F" w:rsidRPr="00CE727F" w:rsidRDefault="00945A5F" w:rsidP="00945A5F">
                      <w:pPr>
                        <w:tabs>
                          <w:tab w:val="left" w:pos="4920"/>
                        </w:tabs>
                        <w:spacing w:after="0" w:line="240" w:lineRule="auto"/>
                        <w:rPr>
                          <w:rFonts w:ascii="Arial" w:eastAsia="MS Mincho" w:hAnsi="Arial" w:cs="Arial"/>
                          <w:b/>
                          <w:sz w:val="24"/>
                          <w:szCs w:val="24"/>
                        </w:rPr>
                      </w:pPr>
                      <w:r w:rsidRPr="00CE727F">
                        <w:rPr>
                          <w:rFonts w:ascii="Arial" w:eastAsia="MS Mincho" w:hAnsi="Arial" w:cs="Arial"/>
                          <w:b/>
                          <w:sz w:val="24"/>
                          <w:szCs w:val="24"/>
                        </w:rPr>
                        <w:t>Recommendations</w:t>
                      </w:r>
                    </w:p>
                    <w:p w14:paraId="53E46FBE" w14:textId="77777777" w:rsidR="00945A5F" w:rsidRPr="00CE727F" w:rsidRDefault="00945A5F" w:rsidP="00945A5F">
                      <w:pPr>
                        <w:tabs>
                          <w:tab w:val="left" w:pos="4920"/>
                        </w:tabs>
                        <w:spacing w:after="0" w:line="240" w:lineRule="auto"/>
                        <w:rPr>
                          <w:rFonts w:ascii="Arial" w:eastAsia="MS Mincho" w:hAnsi="Arial" w:cs="Arial"/>
                          <w:sz w:val="24"/>
                          <w:szCs w:val="24"/>
                        </w:rPr>
                      </w:pPr>
                    </w:p>
                    <w:p w14:paraId="7D9FA137" w14:textId="77777777" w:rsidR="00945A5F" w:rsidRPr="00F3026D" w:rsidRDefault="00945A5F" w:rsidP="00945A5F">
                      <w:pPr>
                        <w:pStyle w:val="ListParagraph"/>
                        <w:numPr>
                          <w:ilvl w:val="0"/>
                          <w:numId w:val="18"/>
                        </w:numPr>
                        <w:tabs>
                          <w:tab w:val="left" w:pos="4920"/>
                        </w:tabs>
                        <w:contextualSpacing/>
                        <w:rPr>
                          <w:rFonts w:ascii="Arial" w:eastAsia="MS Mincho" w:hAnsi="Arial" w:cs="Arial"/>
                          <w:sz w:val="24"/>
                          <w:szCs w:val="24"/>
                        </w:rPr>
                      </w:pPr>
                      <w:r w:rsidRPr="00F3026D">
                        <w:rPr>
                          <w:rFonts w:ascii="Arial" w:eastAsia="MS Mincho" w:hAnsi="Arial" w:cs="Arial"/>
                          <w:sz w:val="24"/>
                          <w:szCs w:val="24"/>
                        </w:rPr>
                        <w:t>Encourage Education Officers to focus on communications with education providers in the early stages of degree apprenticeships, to ensure education providers have a clear understanding of submission requirements</w:t>
                      </w:r>
                      <w:r>
                        <w:rPr>
                          <w:rFonts w:ascii="Arial" w:eastAsia="MS Mincho" w:hAnsi="Arial" w:cs="Arial"/>
                          <w:sz w:val="24"/>
                          <w:szCs w:val="24"/>
                        </w:rPr>
                        <w:t>, and reduce the number of additional documentation requests</w:t>
                      </w:r>
                      <w:r w:rsidRPr="00F3026D">
                        <w:rPr>
                          <w:rFonts w:ascii="Arial" w:eastAsia="MS Mincho" w:hAnsi="Arial" w:cs="Arial"/>
                          <w:sz w:val="24"/>
                          <w:szCs w:val="24"/>
                        </w:rPr>
                        <w:t>.</w:t>
                      </w:r>
                      <w:r w:rsidRPr="00F3026D">
                        <w:rPr>
                          <w:rFonts w:ascii="Arial" w:eastAsia="MS Mincho" w:hAnsi="Arial" w:cs="Arial"/>
                          <w:sz w:val="24"/>
                          <w:szCs w:val="24"/>
                        </w:rPr>
                        <w:br/>
                      </w:r>
                    </w:p>
                    <w:p w14:paraId="6FF8A8F9" w14:textId="77777777" w:rsidR="00945A5F" w:rsidRPr="00CE727F" w:rsidRDefault="00945A5F" w:rsidP="00945A5F">
                      <w:pPr>
                        <w:numPr>
                          <w:ilvl w:val="0"/>
                          <w:numId w:val="18"/>
                        </w:numPr>
                        <w:tabs>
                          <w:tab w:val="left" w:pos="4920"/>
                        </w:tabs>
                        <w:spacing w:after="0" w:line="240" w:lineRule="auto"/>
                        <w:contextualSpacing/>
                        <w:rPr>
                          <w:rFonts w:ascii="Arial" w:eastAsia="MS Mincho" w:hAnsi="Arial" w:cs="Arial"/>
                          <w:sz w:val="24"/>
                          <w:szCs w:val="24"/>
                        </w:rPr>
                      </w:pPr>
                      <w:r w:rsidRPr="00CE727F">
                        <w:rPr>
                          <w:rFonts w:ascii="Arial" w:eastAsia="MS Mincho" w:hAnsi="Arial" w:cs="Arial"/>
                          <w:sz w:val="24"/>
                          <w:szCs w:val="24"/>
                        </w:rPr>
                        <w:t>Use the findings noted above around ongoing themes in apprenticeship assessment to focus Executives’ and visitors’ work on areas likely to need attention.</w:t>
                      </w:r>
                    </w:p>
                    <w:p w14:paraId="31774B2C" w14:textId="77777777" w:rsidR="00945A5F" w:rsidRPr="00CE727F" w:rsidRDefault="00945A5F" w:rsidP="00945A5F">
                      <w:pPr>
                        <w:tabs>
                          <w:tab w:val="left" w:pos="4920"/>
                        </w:tabs>
                        <w:spacing w:after="0" w:line="240" w:lineRule="auto"/>
                        <w:ind w:left="720"/>
                        <w:contextualSpacing/>
                        <w:rPr>
                          <w:rFonts w:ascii="Arial" w:eastAsia="MS Mincho" w:hAnsi="Arial" w:cs="Arial"/>
                          <w:sz w:val="24"/>
                          <w:szCs w:val="24"/>
                        </w:rPr>
                      </w:pPr>
                    </w:p>
                    <w:p w14:paraId="488BB46B" w14:textId="77777777" w:rsidR="00945A5F" w:rsidRPr="00CE727F" w:rsidRDefault="00945A5F" w:rsidP="00945A5F">
                      <w:pPr>
                        <w:numPr>
                          <w:ilvl w:val="0"/>
                          <w:numId w:val="18"/>
                        </w:numPr>
                        <w:tabs>
                          <w:tab w:val="left" w:pos="4920"/>
                        </w:tabs>
                        <w:spacing w:after="0" w:line="240" w:lineRule="auto"/>
                        <w:contextualSpacing/>
                        <w:rPr>
                          <w:rFonts w:ascii="Arial" w:eastAsia="MS Mincho" w:hAnsi="Arial" w:cs="Arial"/>
                          <w:sz w:val="24"/>
                          <w:szCs w:val="24"/>
                        </w:rPr>
                      </w:pPr>
                      <w:r w:rsidRPr="00CE727F">
                        <w:rPr>
                          <w:rFonts w:ascii="Arial" w:eastAsia="MS Mincho" w:hAnsi="Arial" w:cs="Arial"/>
                          <w:sz w:val="24"/>
                          <w:szCs w:val="24"/>
                        </w:rPr>
                        <w:t xml:space="preserve">Consider proactive communication updates for education providers around the best way to evidence such cases and what they can expect in the process. This is especially important in light of the still considerable number of withdrawals from major change assessment processes, and the continuing uncertainty around COVID-19 and its impact on programmes and institutions. </w:t>
                      </w:r>
                    </w:p>
                    <w:p w14:paraId="32955A1E" w14:textId="77777777" w:rsidR="00945A5F" w:rsidRPr="00CE727F" w:rsidRDefault="00945A5F" w:rsidP="00945A5F">
                      <w:pPr>
                        <w:spacing w:after="0" w:line="240" w:lineRule="auto"/>
                        <w:ind w:left="720"/>
                        <w:contextualSpacing/>
                        <w:rPr>
                          <w:rFonts w:ascii="Arial" w:eastAsia="MS Mincho" w:hAnsi="Arial" w:cs="Arial"/>
                          <w:sz w:val="24"/>
                          <w:szCs w:val="24"/>
                        </w:rPr>
                      </w:pPr>
                    </w:p>
                    <w:p w14:paraId="26AF044C" w14:textId="77777777" w:rsidR="00945A5F" w:rsidRPr="00CE727F" w:rsidRDefault="00945A5F" w:rsidP="00945A5F">
                      <w:pPr>
                        <w:numPr>
                          <w:ilvl w:val="0"/>
                          <w:numId w:val="18"/>
                        </w:numPr>
                        <w:tabs>
                          <w:tab w:val="left" w:pos="4920"/>
                        </w:tabs>
                        <w:spacing w:after="0" w:line="240" w:lineRule="auto"/>
                        <w:contextualSpacing/>
                        <w:rPr>
                          <w:rFonts w:ascii="Arial" w:eastAsia="MS Mincho" w:hAnsi="Arial" w:cs="Arial"/>
                          <w:sz w:val="24"/>
                          <w:szCs w:val="24"/>
                        </w:rPr>
                      </w:pPr>
                      <w:r w:rsidRPr="00CE727F">
                        <w:rPr>
                          <w:rFonts w:ascii="Arial" w:eastAsia="MS Mincho" w:hAnsi="Arial" w:cs="Arial"/>
                          <w:sz w:val="24"/>
                          <w:szCs w:val="24"/>
                        </w:rPr>
                        <w:t>Continue to carefully and regularly monitor the number and type of apprenticeship programme approval requests so that we have a clear idea of that area of work as we go into the new quality assurance regime in 2021-22.</w:t>
                      </w:r>
                    </w:p>
                    <w:p w14:paraId="23449175" w14:textId="77777777" w:rsidR="00945A5F" w:rsidRPr="00CE727F" w:rsidRDefault="00945A5F" w:rsidP="00945A5F">
                      <w:pPr>
                        <w:tabs>
                          <w:tab w:val="left" w:pos="4920"/>
                        </w:tabs>
                        <w:spacing w:after="0" w:line="240" w:lineRule="auto"/>
                        <w:rPr>
                          <w:rFonts w:ascii="Arial" w:eastAsia="MS Mincho" w:hAnsi="Arial" w:cs="Arial"/>
                          <w:sz w:val="24"/>
                          <w:szCs w:val="24"/>
                        </w:rPr>
                      </w:pPr>
                    </w:p>
                    <w:p w14:paraId="188CF1AD" w14:textId="16B39814" w:rsidR="00945A5F" w:rsidRPr="00CE727F" w:rsidRDefault="00945A5F" w:rsidP="00945A5F">
                      <w:pPr>
                        <w:numPr>
                          <w:ilvl w:val="0"/>
                          <w:numId w:val="18"/>
                        </w:numPr>
                        <w:tabs>
                          <w:tab w:val="left" w:pos="4920"/>
                        </w:tabs>
                        <w:spacing w:after="0" w:line="240" w:lineRule="auto"/>
                        <w:contextualSpacing/>
                        <w:rPr>
                          <w:rFonts w:ascii="Arial" w:eastAsia="MS Mincho" w:hAnsi="Arial" w:cs="Arial"/>
                          <w:sz w:val="24"/>
                          <w:szCs w:val="24"/>
                        </w:rPr>
                      </w:pPr>
                      <w:r w:rsidRPr="00CE727F">
                        <w:rPr>
                          <w:rFonts w:ascii="Arial" w:eastAsia="MS Mincho" w:hAnsi="Arial" w:cs="Arial"/>
                          <w:sz w:val="24"/>
                          <w:szCs w:val="24"/>
                        </w:rPr>
                        <w:t>Investigate</w:t>
                      </w:r>
                      <w:r w:rsidR="005D3953">
                        <w:rPr>
                          <w:rFonts w:ascii="Arial" w:eastAsia="MS Mincho" w:hAnsi="Arial" w:cs="Arial"/>
                          <w:sz w:val="24"/>
                          <w:szCs w:val="24"/>
                        </w:rPr>
                        <w:t xml:space="preserve"> and understand</w:t>
                      </w:r>
                      <w:r w:rsidRPr="00CE727F">
                        <w:rPr>
                          <w:rFonts w:ascii="Arial" w:eastAsia="MS Mincho" w:hAnsi="Arial" w:cs="Arial"/>
                          <w:sz w:val="24"/>
                          <w:szCs w:val="24"/>
                        </w:rPr>
                        <w:t xml:space="preserve"> why there has been relatively little take-up of apprenticeship programmes even in those professions where IATA has approved an apprenticeship standard.  </w:t>
                      </w:r>
                    </w:p>
                    <w:p w14:paraId="0070F32D" w14:textId="30575E0F" w:rsidR="00945A5F" w:rsidRDefault="00945A5F"/>
                  </w:txbxContent>
                </v:textbox>
                <w10:wrap type="square" anchorx="margin"/>
              </v:shape>
            </w:pict>
          </mc:Fallback>
        </mc:AlternateContent>
      </w:r>
    </w:p>
    <w:p w14:paraId="152F9AA9" w14:textId="15EF0F0B" w:rsidR="00945A5F" w:rsidRDefault="00945A5F" w:rsidP="00945A5F">
      <w:pPr>
        <w:tabs>
          <w:tab w:val="left" w:pos="4920"/>
        </w:tabs>
        <w:rPr>
          <w:rFonts w:ascii="Arial" w:eastAsia="MS Mincho" w:hAnsi="Arial" w:cs="Arial"/>
          <w:sz w:val="24"/>
          <w:szCs w:val="24"/>
        </w:rPr>
      </w:pPr>
    </w:p>
    <w:p w14:paraId="0F20E14E" w14:textId="2680751A" w:rsidR="00945A5F" w:rsidRDefault="00945A5F" w:rsidP="00945A5F">
      <w:pPr>
        <w:tabs>
          <w:tab w:val="left" w:pos="4920"/>
        </w:tabs>
        <w:rPr>
          <w:rFonts w:ascii="Arial" w:eastAsia="MS Mincho" w:hAnsi="Arial" w:cs="Arial"/>
          <w:sz w:val="24"/>
          <w:szCs w:val="24"/>
        </w:rPr>
      </w:pPr>
    </w:p>
    <w:p w14:paraId="38DB6225" w14:textId="77777777" w:rsidR="005C23D2" w:rsidRPr="00E967C9" w:rsidRDefault="005C23D2">
      <w:pPr>
        <w:rPr>
          <w:rFonts w:ascii="Arial" w:hAnsi="Arial" w:cs="Arial"/>
          <w:sz w:val="24"/>
          <w:szCs w:val="24"/>
        </w:rPr>
      </w:pPr>
    </w:p>
    <w:sectPr w:rsidR="005C23D2" w:rsidRPr="00E967C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36FAB" w14:textId="77777777" w:rsidR="00AE07BE" w:rsidRDefault="00AE07BE" w:rsidP="005C23D2">
      <w:pPr>
        <w:spacing w:after="0" w:line="240" w:lineRule="auto"/>
      </w:pPr>
      <w:r>
        <w:separator/>
      </w:r>
    </w:p>
  </w:endnote>
  <w:endnote w:type="continuationSeparator" w:id="0">
    <w:p w14:paraId="5972A18A" w14:textId="77777777" w:rsidR="00AE07BE" w:rsidRDefault="00AE07BE" w:rsidP="005C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E224" w14:textId="77777777" w:rsidR="00DA4E20" w:rsidRDefault="00DA4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519148"/>
      <w:docPartObj>
        <w:docPartGallery w:val="Page Numbers (Bottom of Page)"/>
        <w:docPartUnique/>
      </w:docPartObj>
    </w:sdtPr>
    <w:sdtEndPr>
      <w:rPr>
        <w:rFonts w:ascii="Arial" w:hAnsi="Arial" w:cs="Arial"/>
        <w:noProof/>
      </w:rPr>
    </w:sdtEndPr>
    <w:sdtContent>
      <w:p w14:paraId="64654EA2" w14:textId="634C5CDE" w:rsidR="000B7FEF" w:rsidRPr="000B7FEF" w:rsidRDefault="000B7FEF">
        <w:pPr>
          <w:pStyle w:val="Footer"/>
          <w:jc w:val="center"/>
          <w:rPr>
            <w:rFonts w:ascii="Arial" w:hAnsi="Arial" w:cs="Arial"/>
          </w:rPr>
        </w:pPr>
        <w:r w:rsidRPr="000B7FEF">
          <w:rPr>
            <w:rFonts w:ascii="Arial" w:hAnsi="Arial" w:cs="Arial"/>
          </w:rPr>
          <w:fldChar w:fldCharType="begin"/>
        </w:r>
        <w:r w:rsidRPr="000B7FEF">
          <w:rPr>
            <w:rFonts w:ascii="Arial" w:hAnsi="Arial" w:cs="Arial"/>
          </w:rPr>
          <w:instrText xml:space="preserve"> PAGE   \* MERGEFORMAT </w:instrText>
        </w:r>
        <w:r w:rsidRPr="000B7FEF">
          <w:rPr>
            <w:rFonts w:ascii="Arial" w:hAnsi="Arial" w:cs="Arial"/>
          </w:rPr>
          <w:fldChar w:fldCharType="separate"/>
        </w:r>
        <w:r w:rsidR="00DA10BE">
          <w:rPr>
            <w:rFonts w:ascii="Arial" w:hAnsi="Arial" w:cs="Arial"/>
            <w:noProof/>
          </w:rPr>
          <w:t>7</w:t>
        </w:r>
        <w:r w:rsidRPr="000B7FEF">
          <w:rPr>
            <w:rFonts w:ascii="Arial" w:hAnsi="Arial" w:cs="Arial"/>
            <w:noProof/>
          </w:rPr>
          <w:fldChar w:fldCharType="end"/>
        </w:r>
      </w:p>
    </w:sdtContent>
  </w:sdt>
  <w:p w14:paraId="56AB41E5" w14:textId="66B8D0D7" w:rsidR="005C23D2" w:rsidRPr="009B293D" w:rsidRDefault="005C23D2" w:rsidP="005C23D2">
    <w:pPr>
      <w:pStyle w:val="Footer"/>
      <w:ind w:left="-567"/>
      <w:rPr>
        <w:rFonts w:ascii="Arial" w:hAnsi="Arial" w:cs="Arial"/>
        <w:color w:val="1F3864" w:themeColor="accent5" w:themeShade="8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6F00" w14:textId="77777777" w:rsidR="00DA4E20" w:rsidRDefault="00DA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59B7" w14:textId="77777777" w:rsidR="00AE07BE" w:rsidRDefault="00AE07BE" w:rsidP="005C23D2">
      <w:pPr>
        <w:spacing w:after="0" w:line="240" w:lineRule="auto"/>
      </w:pPr>
      <w:r>
        <w:separator/>
      </w:r>
    </w:p>
  </w:footnote>
  <w:footnote w:type="continuationSeparator" w:id="0">
    <w:p w14:paraId="3E16D62C" w14:textId="77777777" w:rsidR="00AE07BE" w:rsidRDefault="00AE07BE" w:rsidP="005C2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FA56" w14:textId="77777777" w:rsidR="00DA4E20" w:rsidRDefault="00DA4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1E24" w14:textId="77777777" w:rsidR="00DA4E20" w:rsidRDefault="00DA4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5D2B0" w14:textId="77777777" w:rsidR="00DA4E20" w:rsidRDefault="00DA4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31B"/>
    <w:multiLevelType w:val="hybridMultilevel"/>
    <w:tmpl w:val="D592D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531D9D"/>
    <w:multiLevelType w:val="multilevel"/>
    <w:tmpl w:val="523C466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597B37"/>
    <w:multiLevelType w:val="hybridMultilevel"/>
    <w:tmpl w:val="E4064C1E"/>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831F0"/>
    <w:multiLevelType w:val="hybridMultilevel"/>
    <w:tmpl w:val="EE18A29A"/>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4" w15:restartNumberingAfterBreak="0">
    <w:nsid w:val="0FB53469"/>
    <w:multiLevelType w:val="hybridMultilevel"/>
    <w:tmpl w:val="B8925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82E9D"/>
    <w:multiLevelType w:val="multilevel"/>
    <w:tmpl w:val="F238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C5F54"/>
    <w:multiLevelType w:val="hybridMultilevel"/>
    <w:tmpl w:val="FB801666"/>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7" w15:restartNumberingAfterBreak="0">
    <w:nsid w:val="2288734D"/>
    <w:multiLevelType w:val="hybridMultilevel"/>
    <w:tmpl w:val="F6E6837E"/>
    <w:lvl w:ilvl="0" w:tplc="09566A9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77BD2"/>
    <w:multiLevelType w:val="multilevel"/>
    <w:tmpl w:val="BA0AAC4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F06FED"/>
    <w:multiLevelType w:val="hybridMultilevel"/>
    <w:tmpl w:val="E4064C1E"/>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982AD2"/>
    <w:multiLevelType w:val="hybridMultilevel"/>
    <w:tmpl w:val="D6F2C462"/>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11" w15:restartNumberingAfterBreak="0">
    <w:nsid w:val="2CE33C53"/>
    <w:multiLevelType w:val="multilevel"/>
    <w:tmpl w:val="1EA0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570BEB"/>
    <w:multiLevelType w:val="hybridMultilevel"/>
    <w:tmpl w:val="CCAA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A23A6"/>
    <w:multiLevelType w:val="hybridMultilevel"/>
    <w:tmpl w:val="C2E2D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851468"/>
    <w:multiLevelType w:val="hybridMultilevel"/>
    <w:tmpl w:val="801A07C0"/>
    <w:lvl w:ilvl="0" w:tplc="99FA7396">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F2BAD"/>
    <w:multiLevelType w:val="multilevel"/>
    <w:tmpl w:val="BC6604E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D85E4B"/>
    <w:multiLevelType w:val="hybridMultilevel"/>
    <w:tmpl w:val="80F2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A38A4"/>
    <w:multiLevelType w:val="hybridMultilevel"/>
    <w:tmpl w:val="5ECE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043C1"/>
    <w:multiLevelType w:val="hybridMultilevel"/>
    <w:tmpl w:val="13DEAA1E"/>
    <w:lvl w:ilvl="0" w:tplc="B6DA4E74">
      <w:start w:val="1"/>
      <w:numFmt w:val="bullet"/>
      <w:lvlText w:val=""/>
      <w:lvlJc w:val="left"/>
      <w:pPr>
        <w:ind w:left="720" w:hanging="360"/>
      </w:pPr>
      <w:rPr>
        <w:rFonts w:ascii="Symbol" w:hAnsi="Symbol" w:hint="default"/>
      </w:rPr>
    </w:lvl>
    <w:lvl w:ilvl="1" w:tplc="1FEA9A48">
      <w:start w:val="1"/>
      <w:numFmt w:val="bullet"/>
      <w:lvlText w:val="o"/>
      <w:lvlJc w:val="left"/>
      <w:pPr>
        <w:ind w:left="1440" w:hanging="360"/>
      </w:pPr>
      <w:rPr>
        <w:rFonts w:ascii="Courier New" w:hAnsi="Courier New" w:hint="default"/>
      </w:rPr>
    </w:lvl>
    <w:lvl w:ilvl="2" w:tplc="650257F8">
      <w:start w:val="1"/>
      <w:numFmt w:val="bullet"/>
      <w:lvlText w:val=""/>
      <w:lvlJc w:val="left"/>
      <w:pPr>
        <w:ind w:left="2160" w:hanging="360"/>
      </w:pPr>
      <w:rPr>
        <w:rFonts w:ascii="Wingdings" w:hAnsi="Wingdings" w:hint="default"/>
      </w:rPr>
    </w:lvl>
    <w:lvl w:ilvl="3" w:tplc="5B845922">
      <w:start w:val="1"/>
      <w:numFmt w:val="bullet"/>
      <w:lvlText w:val=""/>
      <w:lvlJc w:val="left"/>
      <w:pPr>
        <w:ind w:left="2880" w:hanging="360"/>
      </w:pPr>
      <w:rPr>
        <w:rFonts w:ascii="Symbol" w:hAnsi="Symbol" w:hint="default"/>
      </w:rPr>
    </w:lvl>
    <w:lvl w:ilvl="4" w:tplc="DB76DC56">
      <w:start w:val="1"/>
      <w:numFmt w:val="bullet"/>
      <w:lvlText w:val="o"/>
      <w:lvlJc w:val="left"/>
      <w:pPr>
        <w:ind w:left="3600" w:hanging="360"/>
      </w:pPr>
      <w:rPr>
        <w:rFonts w:ascii="Courier New" w:hAnsi="Courier New" w:hint="default"/>
      </w:rPr>
    </w:lvl>
    <w:lvl w:ilvl="5" w:tplc="507E692C">
      <w:start w:val="1"/>
      <w:numFmt w:val="bullet"/>
      <w:lvlText w:val=""/>
      <w:lvlJc w:val="left"/>
      <w:pPr>
        <w:ind w:left="4320" w:hanging="360"/>
      </w:pPr>
      <w:rPr>
        <w:rFonts w:ascii="Wingdings" w:hAnsi="Wingdings" w:hint="default"/>
      </w:rPr>
    </w:lvl>
    <w:lvl w:ilvl="6" w:tplc="301881AE">
      <w:start w:val="1"/>
      <w:numFmt w:val="bullet"/>
      <w:lvlText w:val=""/>
      <w:lvlJc w:val="left"/>
      <w:pPr>
        <w:ind w:left="5040" w:hanging="360"/>
      </w:pPr>
      <w:rPr>
        <w:rFonts w:ascii="Symbol" w:hAnsi="Symbol" w:hint="default"/>
      </w:rPr>
    </w:lvl>
    <w:lvl w:ilvl="7" w:tplc="6E24EBA0">
      <w:start w:val="1"/>
      <w:numFmt w:val="bullet"/>
      <w:lvlText w:val="o"/>
      <w:lvlJc w:val="left"/>
      <w:pPr>
        <w:ind w:left="5760" w:hanging="360"/>
      </w:pPr>
      <w:rPr>
        <w:rFonts w:ascii="Courier New" w:hAnsi="Courier New" w:hint="default"/>
      </w:rPr>
    </w:lvl>
    <w:lvl w:ilvl="8" w:tplc="0DFAAC04">
      <w:start w:val="1"/>
      <w:numFmt w:val="bullet"/>
      <w:lvlText w:val=""/>
      <w:lvlJc w:val="left"/>
      <w:pPr>
        <w:ind w:left="6480" w:hanging="360"/>
      </w:pPr>
      <w:rPr>
        <w:rFonts w:ascii="Wingdings" w:hAnsi="Wingdings" w:hint="default"/>
      </w:rPr>
    </w:lvl>
  </w:abstractNum>
  <w:abstractNum w:abstractNumId="19" w15:restartNumberingAfterBreak="0">
    <w:nsid w:val="4B2221A5"/>
    <w:multiLevelType w:val="hybridMultilevel"/>
    <w:tmpl w:val="F56E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9754A"/>
    <w:multiLevelType w:val="hybridMultilevel"/>
    <w:tmpl w:val="B5BE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E0984"/>
    <w:multiLevelType w:val="multilevel"/>
    <w:tmpl w:val="523C466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2B0878"/>
    <w:multiLevelType w:val="hybridMultilevel"/>
    <w:tmpl w:val="189ED532"/>
    <w:lvl w:ilvl="0" w:tplc="814CE67E">
      <w:start w:val="1"/>
      <w:numFmt w:val="bullet"/>
      <w:lvlText w:val=""/>
      <w:lvlJc w:val="left"/>
      <w:pPr>
        <w:ind w:left="720" w:hanging="360"/>
      </w:pPr>
      <w:rPr>
        <w:rFonts w:ascii="Symbol" w:hAnsi="Symbol" w:hint="default"/>
      </w:rPr>
    </w:lvl>
    <w:lvl w:ilvl="1" w:tplc="120C9714">
      <w:start w:val="1"/>
      <w:numFmt w:val="bullet"/>
      <w:lvlText w:val="o"/>
      <w:lvlJc w:val="left"/>
      <w:pPr>
        <w:ind w:left="1440" w:hanging="360"/>
      </w:pPr>
      <w:rPr>
        <w:rFonts w:ascii="Courier New" w:hAnsi="Courier New" w:hint="default"/>
      </w:rPr>
    </w:lvl>
    <w:lvl w:ilvl="2" w:tplc="79588AEA">
      <w:start w:val="1"/>
      <w:numFmt w:val="bullet"/>
      <w:lvlText w:val=""/>
      <w:lvlJc w:val="left"/>
      <w:pPr>
        <w:ind w:left="2160" w:hanging="360"/>
      </w:pPr>
      <w:rPr>
        <w:rFonts w:ascii="Wingdings" w:hAnsi="Wingdings" w:hint="default"/>
      </w:rPr>
    </w:lvl>
    <w:lvl w:ilvl="3" w:tplc="B2F25A38">
      <w:start w:val="1"/>
      <w:numFmt w:val="bullet"/>
      <w:lvlText w:val=""/>
      <w:lvlJc w:val="left"/>
      <w:pPr>
        <w:ind w:left="2880" w:hanging="360"/>
      </w:pPr>
      <w:rPr>
        <w:rFonts w:ascii="Symbol" w:hAnsi="Symbol" w:hint="default"/>
      </w:rPr>
    </w:lvl>
    <w:lvl w:ilvl="4" w:tplc="6A1E5C94">
      <w:start w:val="1"/>
      <w:numFmt w:val="bullet"/>
      <w:lvlText w:val="o"/>
      <w:lvlJc w:val="left"/>
      <w:pPr>
        <w:ind w:left="3600" w:hanging="360"/>
      </w:pPr>
      <w:rPr>
        <w:rFonts w:ascii="Courier New" w:hAnsi="Courier New" w:hint="default"/>
      </w:rPr>
    </w:lvl>
    <w:lvl w:ilvl="5" w:tplc="FAFEA6B2">
      <w:start w:val="1"/>
      <w:numFmt w:val="bullet"/>
      <w:lvlText w:val=""/>
      <w:lvlJc w:val="left"/>
      <w:pPr>
        <w:ind w:left="4320" w:hanging="360"/>
      </w:pPr>
      <w:rPr>
        <w:rFonts w:ascii="Wingdings" w:hAnsi="Wingdings" w:hint="default"/>
      </w:rPr>
    </w:lvl>
    <w:lvl w:ilvl="6" w:tplc="6D886D12">
      <w:start w:val="1"/>
      <w:numFmt w:val="bullet"/>
      <w:lvlText w:val=""/>
      <w:lvlJc w:val="left"/>
      <w:pPr>
        <w:ind w:left="5040" w:hanging="360"/>
      </w:pPr>
      <w:rPr>
        <w:rFonts w:ascii="Symbol" w:hAnsi="Symbol" w:hint="default"/>
      </w:rPr>
    </w:lvl>
    <w:lvl w:ilvl="7" w:tplc="CB32CCD2">
      <w:start w:val="1"/>
      <w:numFmt w:val="bullet"/>
      <w:lvlText w:val="o"/>
      <w:lvlJc w:val="left"/>
      <w:pPr>
        <w:ind w:left="5760" w:hanging="360"/>
      </w:pPr>
      <w:rPr>
        <w:rFonts w:ascii="Courier New" w:hAnsi="Courier New" w:hint="default"/>
      </w:rPr>
    </w:lvl>
    <w:lvl w:ilvl="8" w:tplc="45507522">
      <w:start w:val="1"/>
      <w:numFmt w:val="bullet"/>
      <w:lvlText w:val=""/>
      <w:lvlJc w:val="left"/>
      <w:pPr>
        <w:ind w:left="6480" w:hanging="360"/>
      </w:pPr>
      <w:rPr>
        <w:rFonts w:ascii="Wingdings" w:hAnsi="Wingdings" w:hint="default"/>
      </w:rPr>
    </w:lvl>
  </w:abstractNum>
  <w:abstractNum w:abstractNumId="23" w15:restartNumberingAfterBreak="0">
    <w:nsid w:val="57D1410A"/>
    <w:multiLevelType w:val="hybridMultilevel"/>
    <w:tmpl w:val="E4064C1E"/>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932B97"/>
    <w:multiLevelType w:val="hybridMultilevel"/>
    <w:tmpl w:val="FFB2E53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5" w15:restartNumberingAfterBreak="0">
    <w:nsid w:val="66713FF5"/>
    <w:multiLevelType w:val="multilevel"/>
    <w:tmpl w:val="DBD4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1A3805"/>
    <w:multiLevelType w:val="hybridMultilevel"/>
    <w:tmpl w:val="A92A3EDC"/>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27" w15:restartNumberingAfterBreak="0">
    <w:nsid w:val="77AD6D93"/>
    <w:multiLevelType w:val="multilevel"/>
    <w:tmpl w:val="BCEAF60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8"/>
  </w:num>
  <w:num w:numId="3">
    <w:abstractNumId w:val="6"/>
  </w:num>
  <w:num w:numId="4">
    <w:abstractNumId w:val="10"/>
  </w:num>
  <w:num w:numId="5">
    <w:abstractNumId w:val="26"/>
  </w:num>
  <w:num w:numId="6">
    <w:abstractNumId w:val="22"/>
  </w:num>
  <w:num w:numId="7">
    <w:abstractNumId w:val="1"/>
  </w:num>
  <w:num w:numId="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21"/>
  </w:num>
  <w:num w:numId="13">
    <w:abstractNumId w:val="20"/>
  </w:num>
  <w:num w:numId="14">
    <w:abstractNumId w:val="12"/>
  </w:num>
  <w:num w:numId="15">
    <w:abstractNumId w:val="17"/>
  </w:num>
  <w:num w:numId="16">
    <w:abstractNumId w:val="14"/>
  </w:num>
  <w:num w:numId="17">
    <w:abstractNumId w:val="7"/>
  </w:num>
  <w:num w:numId="18">
    <w:abstractNumId w:val="2"/>
  </w:num>
  <w:num w:numId="19">
    <w:abstractNumId w:val="13"/>
  </w:num>
  <w:num w:numId="20">
    <w:abstractNumId w:val="16"/>
  </w:num>
  <w:num w:numId="21">
    <w:abstractNumId w:val="24"/>
  </w:num>
  <w:num w:numId="22">
    <w:abstractNumId w:val="3"/>
  </w:num>
  <w:num w:numId="23">
    <w:abstractNumId w:val="5"/>
  </w:num>
  <w:num w:numId="24">
    <w:abstractNumId w:val="25"/>
  </w:num>
  <w:num w:numId="25">
    <w:abstractNumId w:val="8"/>
  </w:num>
  <w:num w:numId="26">
    <w:abstractNumId w:val="11"/>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1"/>
    <w:rsid w:val="00014A8B"/>
    <w:rsid w:val="00021644"/>
    <w:rsid w:val="00045767"/>
    <w:rsid w:val="00056A56"/>
    <w:rsid w:val="000617E1"/>
    <w:rsid w:val="000833B1"/>
    <w:rsid w:val="00093518"/>
    <w:rsid w:val="000B7FEF"/>
    <w:rsid w:val="000E6D60"/>
    <w:rsid w:val="00106729"/>
    <w:rsid w:val="001A2B1F"/>
    <w:rsid w:val="001B4098"/>
    <w:rsid w:val="001C04F3"/>
    <w:rsid w:val="001C0775"/>
    <w:rsid w:val="001E47FD"/>
    <w:rsid w:val="00217A77"/>
    <w:rsid w:val="00224522"/>
    <w:rsid w:val="0027524B"/>
    <w:rsid w:val="002A501E"/>
    <w:rsid w:val="002D0D6D"/>
    <w:rsid w:val="002F4ABD"/>
    <w:rsid w:val="003051B0"/>
    <w:rsid w:val="0031140D"/>
    <w:rsid w:val="003325BF"/>
    <w:rsid w:val="00371566"/>
    <w:rsid w:val="003768EE"/>
    <w:rsid w:val="00387088"/>
    <w:rsid w:val="003C65A3"/>
    <w:rsid w:val="003C7A7C"/>
    <w:rsid w:val="003E580D"/>
    <w:rsid w:val="00422646"/>
    <w:rsid w:val="00441809"/>
    <w:rsid w:val="00450713"/>
    <w:rsid w:val="004B582E"/>
    <w:rsid w:val="004B713A"/>
    <w:rsid w:val="00501321"/>
    <w:rsid w:val="00504560"/>
    <w:rsid w:val="00507F19"/>
    <w:rsid w:val="00524BEF"/>
    <w:rsid w:val="00536957"/>
    <w:rsid w:val="00541B5A"/>
    <w:rsid w:val="00543AC8"/>
    <w:rsid w:val="005529FA"/>
    <w:rsid w:val="00561487"/>
    <w:rsid w:val="00585755"/>
    <w:rsid w:val="00591E91"/>
    <w:rsid w:val="005C23D2"/>
    <w:rsid w:val="005D3953"/>
    <w:rsid w:val="005F6F5F"/>
    <w:rsid w:val="00607CE7"/>
    <w:rsid w:val="0066060F"/>
    <w:rsid w:val="00681D7C"/>
    <w:rsid w:val="00682D6D"/>
    <w:rsid w:val="006873BD"/>
    <w:rsid w:val="006A69EA"/>
    <w:rsid w:val="00701D6D"/>
    <w:rsid w:val="00730E7D"/>
    <w:rsid w:val="0073319E"/>
    <w:rsid w:val="0073497A"/>
    <w:rsid w:val="00734F70"/>
    <w:rsid w:val="00764109"/>
    <w:rsid w:val="00785820"/>
    <w:rsid w:val="007B0803"/>
    <w:rsid w:val="007D76E3"/>
    <w:rsid w:val="007F1D3A"/>
    <w:rsid w:val="007F700B"/>
    <w:rsid w:val="00802533"/>
    <w:rsid w:val="008168C7"/>
    <w:rsid w:val="0081701F"/>
    <w:rsid w:val="00841F4E"/>
    <w:rsid w:val="00843EEB"/>
    <w:rsid w:val="00894366"/>
    <w:rsid w:val="008E05C1"/>
    <w:rsid w:val="008F0B8A"/>
    <w:rsid w:val="008F1A5D"/>
    <w:rsid w:val="009120FD"/>
    <w:rsid w:val="00916879"/>
    <w:rsid w:val="00945A5F"/>
    <w:rsid w:val="00954F8D"/>
    <w:rsid w:val="00960704"/>
    <w:rsid w:val="00971EFD"/>
    <w:rsid w:val="00981A0C"/>
    <w:rsid w:val="00984A5D"/>
    <w:rsid w:val="009B293D"/>
    <w:rsid w:val="009C5A79"/>
    <w:rsid w:val="009E2531"/>
    <w:rsid w:val="00A04542"/>
    <w:rsid w:val="00A7092A"/>
    <w:rsid w:val="00A81E47"/>
    <w:rsid w:val="00A96E36"/>
    <w:rsid w:val="00AA463B"/>
    <w:rsid w:val="00AE07BE"/>
    <w:rsid w:val="00B23BC6"/>
    <w:rsid w:val="00B3461B"/>
    <w:rsid w:val="00B43A5D"/>
    <w:rsid w:val="00B565FD"/>
    <w:rsid w:val="00B64C02"/>
    <w:rsid w:val="00B67C63"/>
    <w:rsid w:val="00BD27D1"/>
    <w:rsid w:val="00BF4CDB"/>
    <w:rsid w:val="00C05029"/>
    <w:rsid w:val="00C051F2"/>
    <w:rsid w:val="00C25945"/>
    <w:rsid w:val="00C46627"/>
    <w:rsid w:val="00C70C6D"/>
    <w:rsid w:val="00C83B41"/>
    <w:rsid w:val="00CC62D9"/>
    <w:rsid w:val="00CC74FD"/>
    <w:rsid w:val="00CE727F"/>
    <w:rsid w:val="00D150F1"/>
    <w:rsid w:val="00D60659"/>
    <w:rsid w:val="00D648A8"/>
    <w:rsid w:val="00D767A0"/>
    <w:rsid w:val="00DA10BE"/>
    <w:rsid w:val="00DA4E20"/>
    <w:rsid w:val="00DB552F"/>
    <w:rsid w:val="00DC282E"/>
    <w:rsid w:val="00DD37B8"/>
    <w:rsid w:val="00E2189D"/>
    <w:rsid w:val="00E327C1"/>
    <w:rsid w:val="00E349E8"/>
    <w:rsid w:val="00E36A50"/>
    <w:rsid w:val="00E37D7A"/>
    <w:rsid w:val="00E72E20"/>
    <w:rsid w:val="00E967C9"/>
    <w:rsid w:val="00EB57A3"/>
    <w:rsid w:val="00EC70B2"/>
    <w:rsid w:val="00EF5D5C"/>
    <w:rsid w:val="00F3026D"/>
    <w:rsid w:val="00F34EE9"/>
    <w:rsid w:val="00F50296"/>
    <w:rsid w:val="00FC6C3B"/>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AB41AE"/>
  <w15:chartTrackingRefBased/>
  <w15:docId w15:val="{0DD462F1-2744-41A3-B45F-2A030772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46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C6C3B"/>
    <w:pPr>
      <w:keepNext/>
      <w:spacing w:after="0" w:line="280" w:lineRule="exact"/>
      <w:outlineLvl w:val="1"/>
    </w:pPr>
    <w:rPr>
      <w:rFonts w:ascii="Arial" w:eastAsia="Times New Roman" w:hAnsi="Arial" w:cs="Arial"/>
      <w:b/>
      <w:bCs/>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1D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01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D6D"/>
    <w:rPr>
      <w:rFonts w:ascii="Segoe UI" w:hAnsi="Segoe UI" w:cs="Segoe UI"/>
      <w:sz w:val="18"/>
      <w:szCs w:val="18"/>
    </w:rPr>
  </w:style>
  <w:style w:type="paragraph" w:styleId="Header">
    <w:name w:val="header"/>
    <w:basedOn w:val="Normal"/>
    <w:link w:val="HeaderChar"/>
    <w:uiPriority w:val="99"/>
    <w:unhideWhenUsed/>
    <w:rsid w:val="005C2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3D2"/>
  </w:style>
  <w:style w:type="paragraph" w:styleId="Footer">
    <w:name w:val="footer"/>
    <w:basedOn w:val="Normal"/>
    <w:link w:val="FooterChar"/>
    <w:uiPriority w:val="99"/>
    <w:unhideWhenUsed/>
    <w:rsid w:val="005C2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3D2"/>
  </w:style>
  <w:style w:type="paragraph" w:styleId="ListParagraph">
    <w:name w:val="List Paragraph"/>
    <w:basedOn w:val="Normal"/>
    <w:uiPriority w:val="34"/>
    <w:qFormat/>
    <w:rsid w:val="00FC6C3B"/>
    <w:pPr>
      <w:spacing w:after="0" w:line="240" w:lineRule="auto"/>
      <w:ind w:left="720"/>
    </w:pPr>
    <w:rPr>
      <w:rFonts w:ascii="Calibri" w:eastAsia="Times New Roman" w:hAnsi="Calibri" w:cs="Times New Roman"/>
    </w:rPr>
  </w:style>
  <w:style w:type="character" w:customStyle="1" w:styleId="Heading2Char">
    <w:name w:val="Heading 2 Char"/>
    <w:basedOn w:val="DefaultParagraphFont"/>
    <w:link w:val="Heading2"/>
    <w:rsid w:val="00FC6C3B"/>
    <w:rPr>
      <w:rFonts w:ascii="Arial" w:eastAsia="Times New Roman" w:hAnsi="Arial" w:cs="Arial"/>
      <w:b/>
      <w:bCs/>
      <w:iCs/>
      <w:sz w:val="28"/>
      <w:szCs w:val="28"/>
      <w:lang w:eastAsia="en-GB"/>
    </w:rPr>
  </w:style>
  <w:style w:type="paragraph" w:customStyle="1" w:styleId="Default">
    <w:name w:val="Default"/>
    <w:rsid w:val="00FC6C3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FC6C3B"/>
    <w:rPr>
      <w:color w:val="0563C1" w:themeColor="hyperlink"/>
      <w:u w:val="single"/>
    </w:rPr>
  </w:style>
  <w:style w:type="paragraph" w:styleId="NoSpacing">
    <w:name w:val="No Spacing"/>
    <w:uiPriority w:val="1"/>
    <w:qFormat/>
    <w:rsid w:val="000E6D60"/>
    <w:pPr>
      <w:spacing w:after="0" w:line="240" w:lineRule="auto"/>
    </w:pPr>
  </w:style>
  <w:style w:type="character" w:customStyle="1" w:styleId="Heading1Char">
    <w:name w:val="Heading 1 Char"/>
    <w:basedOn w:val="DefaultParagraphFont"/>
    <w:link w:val="Heading1"/>
    <w:uiPriority w:val="9"/>
    <w:rsid w:val="00AA463B"/>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semiHidden/>
    <w:unhideWhenUsed/>
    <w:rsid w:val="00AA463B"/>
    <w:pPr>
      <w:spacing w:after="0" w:line="240" w:lineRule="auto"/>
    </w:pPr>
    <w:rPr>
      <w:rFonts w:ascii="Arial" w:eastAsia="MS Mincho" w:hAnsi="Arial" w:cs="Arial"/>
      <w:sz w:val="20"/>
      <w:szCs w:val="20"/>
    </w:rPr>
  </w:style>
  <w:style w:type="character" w:customStyle="1" w:styleId="CommentTextChar">
    <w:name w:val="Comment Text Char"/>
    <w:basedOn w:val="DefaultParagraphFont"/>
    <w:link w:val="CommentText"/>
    <w:uiPriority w:val="99"/>
    <w:semiHidden/>
    <w:rsid w:val="00AA463B"/>
    <w:rPr>
      <w:rFonts w:ascii="Arial" w:eastAsia="MS Mincho" w:hAnsi="Arial" w:cs="Arial"/>
      <w:sz w:val="20"/>
      <w:szCs w:val="20"/>
    </w:rPr>
  </w:style>
  <w:style w:type="character" w:styleId="CommentReference">
    <w:name w:val="annotation reference"/>
    <w:basedOn w:val="DefaultParagraphFont"/>
    <w:uiPriority w:val="99"/>
    <w:semiHidden/>
    <w:unhideWhenUsed/>
    <w:rsid w:val="00AA463B"/>
    <w:rPr>
      <w:sz w:val="16"/>
      <w:szCs w:val="16"/>
    </w:rPr>
  </w:style>
  <w:style w:type="paragraph" w:styleId="Revision">
    <w:name w:val="Revision"/>
    <w:hidden/>
    <w:uiPriority w:val="99"/>
    <w:semiHidden/>
    <w:rsid w:val="008F1A5D"/>
    <w:pPr>
      <w:spacing w:after="0" w:line="240" w:lineRule="auto"/>
    </w:pPr>
  </w:style>
  <w:style w:type="paragraph" w:styleId="CommentSubject">
    <w:name w:val="annotation subject"/>
    <w:basedOn w:val="CommentText"/>
    <w:next w:val="CommentText"/>
    <w:link w:val="CommentSubjectChar"/>
    <w:uiPriority w:val="99"/>
    <w:semiHidden/>
    <w:unhideWhenUsed/>
    <w:rsid w:val="0080253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02533"/>
    <w:rPr>
      <w:rFonts w:ascii="Arial" w:eastAsia="MS Mincho" w:hAnsi="Arial" w:cs="Arial"/>
      <w:b/>
      <w:bCs/>
      <w:sz w:val="20"/>
      <w:szCs w:val="20"/>
    </w:rPr>
  </w:style>
  <w:style w:type="character" w:customStyle="1" w:styleId="normaltextrun">
    <w:name w:val="normaltextrun"/>
    <w:basedOn w:val="DefaultParagraphFont"/>
    <w:rsid w:val="002D0D6D"/>
  </w:style>
  <w:style w:type="character" w:customStyle="1" w:styleId="eop">
    <w:name w:val="eop"/>
    <w:basedOn w:val="DefaultParagraphFont"/>
    <w:rsid w:val="002D0D6D"/>
  </w:style>
  <w:style w:type="paragraph" w:customStyle="1" w:styleId="paragraph">
    <w:name w:val="paragraph"/>
    <w:basedOn w:val="Normal"/>
    <w:rsid w:val="002D0D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3737">
      <w:bodyDiv w:val="1"/>
      <w:marLeft w:val="0"/>
      <w:marRight w:val="0"/>
      <w:marTop w:val="0"/>
      <w:marBottom w:val="0"/>
      <w:divBdr>
        <w:top w:val="none" w:sz="0" w:space="0" w:color="auto"/>
        <w:left w:val="none" w:sz="0" w:space="0" w:color="auto"/>
        <w:bottom w:val="none" w:sz="0" w:space="0" w:color="auto"/>
        <w:right w:val="none" w:sz="0" w:space="0" w:color="auto"/>
      </w:divBdr>
    </w:div>
    <w:div w:id="398402722">
      <w:bodyDiv w:val="1"/>
      <w:marLeft w:val="0"/>
      <w:marRight w:val="0"/>
      <w:marTop w:val="0"/>
      <w:marBottom w:val="0"/>
      <w:divBdr>
        <w:top w:val="none" w:sz="0" w:space="0" w:color="auto"/>
        <w:left w:val="none" w:sz="0" w:space="0" w:color="auto"/>
        <w:bottom w:val="none" w:sz="0" w:space="0" w:color="auto"/>
        <w:right w:val="none" w:sz="0" w:space="0" w:color="auto"/>
      </w:divBdr>
    </w:div>
    <w:div w:id="1716349395">
      <w:bodyDiv w:val="1"/>
      <w:marLeft w:val="0"/>
      <w:marRight w:val="0"/>
      <w:marTop w:val="0"/>
      <w:marBottom w:val="0"/>
      <w:divBdr>
        <w:top w:val="none" w:sz="0" w:space="0" w:color="auto"/>
        <w:left w:val="none" w:sz="0" w:space="0" w:color="auto"/>
        <w:bottom w:val="none" w:sz="0" w:space="0" w:color="auto"/>
        <w:right w:val="none" w:sz="0" w:space="0" w:color="auto"/>
      </w:divBdr>
      <w:divsChild>
        <w:div w:id="1222131234">
          <w:marLeft w:val="0"/>
          <w:marRight w:val="0"/>
          <w:marTop w:val="0"/>
          <w:marBottom w:val="0"/>
          <w:divBdr>
            <w:top w:val="none" w:sz="0" w:space="0" w:color="auto"/>
            <w:left w:val="none" w:sz="0" w:space="0" w:color="auto"/>
            <w:bottom w:val="none" w:sz="0" w:space="0" w:color="auto"/>
            <w:right w:val="none" w:sz="0" w:space="0" w:color="auto"/>
          </w:divBdr>
        </w:div>
        <w:div w:id="584536457">
          <w:marLeft w:val="0"/>
          <w:marRight w:val="0"/>
          <w:marTop w:val="0"/>
          <w:marBottom w:val="0"/>
          <w:divBdr>
            <w:top w:val="none" w:sz="0" w:space="0" w:color="auto"/>
            <w:left w:val="none" w:sz="0" w:space="0" w:color="auto"/>
            <w:bottom w:val="none" w:sz="0" w:space="0" w:color="auto"/>
            <w:right w:val="none" w:sz="0" w:space="0" w:color="auto"/>
          </w:divBdr>
        </w:div>
        <w:div w:id="297534949">
          <w:marLeft w:val="0"/>
          <w:marRight w:val="0"/>
          <w:marTop w:val="0"/>
          <w:marBottom w:val="0"/>
          <w:divBdr>
            <w:top w:val="none" w:sz="0" w:space="0" w:color="auto"/>
            <w:left w:val="none" w:sz="0" w:space="0" w:color="auto"/>
            <w:bottom w:val="none" w:sz="0" w:space="0" w:color="auto"/>
            <w:right w:val="none" w:sz="0" w:space="0" w:color="auto"/>
          </w:divBdr>
        </w:div>
        <w:div w:id="599989418">
          <w:marLeft w:val="0"/>
          <w:marRight w:val="0"/>
          <w:marTop w:val="0"/>
          <w:marBottom w:val="0"/>
          <w:divBdr>
            <w:top w:val="none" w:sz="0" w:space="0" w:color="auto"/>
            <w:left w:val="none" w:sz="0" w:space="0" w:color="auto"/>
            <w:bottom w:val="none" w:sz="0" w:space="0" w:color="auto"/>
            <w:right w:val="none" w:sz="0" w:space="0" w:color="auto"/>
          </w:divBdr>
        </w:div>
        <w:div w:id="228272924">
          <w:marLeft w:val="0"/>
          <w:marRight w:val="0"/>
          <w:marTop w:val="0"/>
          <w:marBottom w:val="0"/>
          <w:divBdr>
            <w:top w:val="none" w:sz="0" w:space="0" w:color="auto"/>
            <w:left w:val="none" w:sz="0" w:space="0" w:color="auto"/>
            <w:bottom w:val="none" w:sz="0" w:space="0" w:color="auto"/>
            <w:right w:val="none" w:sz="0" w:space="0" w:color="auto"/>
          </w:divBdr>
        </w:div>
      </w:divsChild>
    </w:div>
    <w:div w:id="1889755413">
      <w:bodyDiv w:val="1"/>
      <w:marLeft w:val="0"/>
      <w:marRight w:val="0"/>
      <w:marTop w:val="0"/>
      <w:marBottom w:val="0"/>
      <w:divBdr>
        <w:top w:val="none" w:sz="0" w:space="0" w:color="auto"/>
        <w:left w:val="none" w:sz="0" w:space="0" w:color="auto"/>
        <w:bottom w:val="none" w:sz="0" w:space="0" w:color="auto"/>
        <w:right w:val="none" w:sz="0" w:space="0" w:color="auto"/>
      </w:divBdr>
      <w:divsChild>
        <w:div w:id="719548007">
          <w:marLeft w:val="0"/>
          <w:marRight w:val="0"/>
          <w:marTop w:val="0"/>
          <w:marBottom w:val="0"/>
          <w:divBdr>
            <w:top w:val="none" w:sz="0" w:space="0" w:color="auto"/>
            <w:left w:val="none" w:sz="0" w:space="0" w:color="auto"/>
            <w:bottom w:val="none" w:sz="0" w:space="0" w:color="auto"/>
            <w:right w:val="none" w:sz="0" w:space="0" w:color="auto"/>
          </w:divBdr>
        </w:div>
        <w:div w:id="1184630782">
          <w:marLeft w:val="0"/>
          <w:marRight w:val="0"/>
          <w:marTop w:val="0"/>
          <w:marBottom w:val="0"/>
          <w:divBdr>
            <w:top w:val="none" w:sz="0" w:space="0" w:color="auto"/>
            <w:left w:val="none" w:sz="0" w:space="0" w:color="auto"/>
            <w:bottom w:val="none" w:sz="0" w:space="0" w:color="auto"/>
            <w:right w:val="none" w:sz="0" w:space="0" w:color="auto"/>
          </w:divBdr>
        </w:div>
        <w:div w:id="490097215">
          <w:marLeft w:val="0"/>
          <w:marRight w:val="0"/>
          <w:marTop w:val="0"/>
          <w:marBottom w:val="0"/>
          <w:divBdr>
            <w:top w:val="none" w:sz="0" w:space="0" w:color="auto"/>
            <w:left w:val="none" w:sz="0" w:space="0" w:color="auto"/>
            <w:bottom w:val="none" w:sz="0" w:space="0" w:color="auto"/>
            <w:right w:val="none" w:sz="0" w:space="0" w:color="auto"/>
          </w:divBdr>
        </w:div>
        <w:div w:id="1767729789">
          <w:marLeft w:val="0"/>
          <w:marRight w:val="0"/>
          <w:marTop w:val="0"/>
          <w:marBottom w:val="0"/>
          <w:divBdr>
            <w:top w:val="none" w:sz="0" w:space="0" w:color="auto"/>
            <w:left w:val="none" w:sz="0" w:space="0" w:color="auto"/>
            <w:bottom w:val="none" w:sz="0" w:space="0" w:color="auto"/>
            <w:right w:val="none" w:sz="0" w:space="0" w:color="auto"/>
          </w:divBdr>
        </w:div>
        <w:div w:id="101426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all.gooch@hcpc-uk.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hcpc-uk.org/globalassets/meetings-attachments3/education-and-training-committee/2020/1.-10.03.2020/enc-13---review-of-apprenticeships-quality-assurance.pdf" TargetMode="Externa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cpc-uk.org/globalassets/meetings-attachments3/education-and-training-committee/2019/01.-07.03.2019/enc-03---reviewing-our-approach-to-quality-assuring-higher-and-degree-apprenticeship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Requests to approve new apprenticeships in the last two years, by process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FB0F-444B-9925-68254258C1BF}"/>
              </c:ext>
            </c:extLst>
          </c:dPt>
          <c:dPt>
            <c:idx val="1"/>
            <c:invertIfNegative val="0"/>
            <c:bubble3D val="0"/>
            <c:spPr>
              <a:solidFill>
                <a:schemeClr val="accent6"/>
              </a:solidFill>
              <a:ln>
                <a:noFill/>
              </a:ln>
              <a:effectLst/>
            </c:spPr>
            <c:extLst>
              <c:ext xmlns:c16="http://schemas.microsoft.com/office/drawing/2014/chart" uri="{C3380CC4-5D6E-409C-BE32-E72D297353CC}">
                <c16:uniqueId val="{00000003-FB0F-444B-9925-68254258C1BF}"/>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FB0F-444B-9925-68254258C1BF}"/>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7-FB0F-444B-9925-68254258C1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Sheet1!$A$1:$D$1</c:f>
              <c:strCache>
                <c:ptCount val="4"/>
                <c:pt idx="0">
                  <c:v>Via major change 2018-19</c:v>
                </c:pt>
                <c:pt idx="1">
                  <c:v>Via approval 2018-19</c:v>
                </c:pt>
                <c:pt idx="2">
                  <c:v>Via major change 2019-20</c:v>
                </c:pt>
                <c:pt idx="3">
                  <c:v>Via approval 2019-20</c:v>
                </c:pt>
              </c:strCache>
            </c:strRef>
          </c:cat>
          <c:val>
            <c:numRef>
              <c:f>Sheet1!$A$2:$D$2</c:f>
              <c:numCache>
                <c:formatCode>General</c:formatCode>
                <c:ptCount val="4"/>
                <c:pt idx="0">
                  <c:v>32</c:v>
                </c:pt>
                <c:pt idx="1">
                  <c:v>29</c:v>
                </c:pt>
                <c:pt idx="2">
                  <c:v>18</c:v>
                </c:pt>
                <c:pt idx="3">
                  <c:v>8</c:v>
                </c:pt>
              </c:numCache>
            </c:numRef>
          </c:val>
          <c:extLst>
            <c:ext xmlns:c16="http://schemas.microsoft.com/office/drawing/2014/chart" uri="{C3380CC4-5D6E-409C-BE32-E72D297353CC}">
              <c16:uniqueId val="{00000008-FB0F-444B-9925-68254258C1BF}"/>
            </c:ext>
          </c:extLst>
        </c:ser>
        <c:dLbls>
          <c:showLegendKey val="0"/>
          <c:showVal val="0"/>
          <c:showCatName val="0"/>
          <c:showSerName val="0"/>
          <c:showPercent val="0"/>
          <c:showBubbleSize val="0"/>
        </c:dLbls>
        <c:gapWidth val="219"/>
        <c:overlap val="-27"/>
        <c:axId val="561874968"/>
        <c:axId val="561872672"/>
      </c:barChart>
      <c:catAx>
        <c:axId val="56187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872672"/>
        <c:crosses val="autoZero"/>
        <c:auto val="1"/>
        <c:lblAlgn val="ctr"/>
        <c:lblOffset val="100"/>
        <c:noMultiLvlLbl val="0"/>
      </c:catAx>
      <c:valAx>
        <c:axId val="561872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874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Degree</a:t>
            </a:r>
            <a:r>
              <a:rPr lang="en-US" baseline="0"/>
              <a:t> a</a:t>
            </a:r>
            <a:r>
              <a:rPr lang="en-US"/>
              <a:t>pprenticeship</a:t>
            </a:r>
            <a:r>
              <a:rPr lang="en-US" baseline="0"/>
              <a:t> m</a:t>
            </a:r>
            <a:r>
              <a:rPr lang="en-US"/>
              <a:t>ajor changes referred to the approval process in the last three years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Sheet1!$A$1:$C$1</c:f>
              <c:strCache>
                <c:ptCount val="3"/>
                <c:pt idx="0">
                  <c:v>2017-18</c:v>
                </c:pt>
                <c:pt idx="1">
                  <c:v>2018-19</c:v>
                </c:pt>
                <c:pt idx="2">
                  <c:v>2019-20</c:v>
                </c:pt>
              </c:strCache>
            </c:strRef>
          </c:cat>
          <c:val>
            <c:numRef>
              <c:f>Sheet1!$A$2:$C$2</c:f>
              <c:numCache>
                <c:formatCode>General</c:formatCode>
                <c:ptCount val="3"/>
                <c:pt idx="0">
                  <c:v>33</c:v>
                </c:pt>
                <c:pt idx="1">
                  <c:v>14</c:v>
                </c:pt>
                <c:pt idx="2">
                  <c:v>5.5</c:v>
                </c:pt>
              </c:numCache>
            </c:numRef>
          </c:val>
          <c:extLst>
            <c:ext xmlns:c16="http://schemas.microsoft.com/office/drawing/2014/chart" uri="{C3380CC4-5D6E-409C-BE32-E72D297353CC}">
              <c16:uniqueId val="{00000000-513F-4CA3-B72E-35566E911C01}"/>
            </c:ext>
          </c:extLst>
        </c:ser>
        <c:dLbls>
          <c:showLegendKey val="0"/>
          <c:showVal val="0"/>
          <c:showCatName val="0"/>
          <c:showSerName val="0"/>
          <c:showPercent val="0"/>
          <c:showBubbleSize val="0"/>
        </c:dLbls>
        <c:gapWidth val="219"/>
        <c:overlap val="-27"/>
        <c:axId val="545906464"/>
        <c:axId val="545908104"/>
      </c:barChart>
      <c:catAx>
        <c:axId val="54590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908104"/>
        <c:crosses val="autoZero"/>
        <c:auto val="1"/>
        <c:lblAlgn val="ctr"/>
        <c:lblOffset val="100"/>
        <c:noMultiLvlLbl val="0"/>
      </c:catAx>
      <c:valAx>
        <c:axId val="545908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90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Apprenticeship major changes where visitors requested additional documentation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Sheet2!$A$1:$C$1</c:f>
              <c:strCache>
                <c:ptCount val="3"/>
                <c:pt idx="0">
                  <c:v>2017-18</c:v>
                </c:pt>
                <c:pt idx="1">
                  <c:v>2018-19</c:v>
                </c:pt>
                <c:pt idx="2">
                  <c:v>2019-20</c:v>
                </c:pt>
              </c:strCache>
            </c:strRef>
          </c:cat>
          <c:val>
            <c:numRef>
              <c:f>Sheet2!$A$2:$C$2</c:f>
              <c:numCache>
                <c:formatCode>General</c:formatCode>
                <c:ptCount val="3"/>
                <c:pt idx="0">
                  <c:v>40</c:v>
                </c:pt>
                <c:pt idx="1">
                  <c:v>53</c:v>
                </c:pt>
                <c:pt idx="2">
                  <c:v>58</c:v>
                </c:pt>
              </c:numCache>
            </c:numRef>
          </c:val>
          <c:extLst>
            <c:ext xmlns:c16="http://schemas.microsoft.com/office/drawing/2014/chart" uri="{C3380CC4-5D6E-409C-BE32-E72D297353CC}">
              <c16:uniqueId val="{00000000-84F8-4A55-A2F1-3E228C93FE77}"/>
            </c:ext>
          </c:extLst>
        </c:ser>
        <c:dLbls>
          <c:showLegendKey val="0"/>
          <c:showVal val="0"/>
          <c:showCatName val="0"/>
          <c:showSerName val="0"/>
          <c:showPercent val="0"/>
          <c:showBubbleSize val="0"/>
        </c:dLbls>
        <c:gapWidth val="219"/>
        <c:overlap val="-27"/>
        <c:axId val="548188752"/>
        <c:axId val="548192688"/>
      </c:barChart>
      <c:catAx>
        <c:axId val="54818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192688"/>
        <c:crosses val="autoZero"/>
        <c:auto val="1"/>
        <c:lblAlgn val="ctr"/>
        <c:lblOffset val="100"/>
        <c:noMultiLvlLbl val="0"/>
      </c:catAx>
      <c:valAx>
        <c:axId val="54819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188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Approval visits to apprenticeship programmes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2017-18</c:v>
                </c:pt>
                <c:pt idx="1">
                  <c:v>2018-19</c:v>
                </c:pt>
                <c:pt idx="2">
                  <c:v>2019-20</c:v>
                </c:pt>
              </c:strCache>
            </c:strRef>
          </c:cat>
          <c:val>
            <c:numRef>
              <c:f>Sheet1!$A$2:$C$2</c:f>
              <c:numCache>
                <c:formatCode>General</c:formatCode>
                <c:ptCount val="3"/>
                <c:pt idx="0">
                  <c:v>30</c:v>
                </c:pt>
                <c:pt idx="1">
                  <c:v>26</c:v>
                </c:pt>
                <c:pt idx="2">
                  <c:v>7</c:v>
                </c:pt>
              </c:numCache>
            </c:numRef>
          </c:val>
          <c:extLst>
            <c:ext xmlns:c16="http://schemas.microsoft.com/office/drawing/2014/chart" uri="{C3380CC4-5D6E-409C-BE32-E72D297353CC}">
              <c16:uniqueId val="{00000000-29A3-4955-90D3-B0A1D6E4AA85}"/>
            </c:ext>
          </c:extLst>
        </c:ser>
        <c:dLbls>
          <c:showLegendKey val="0"/>
          <c:showVal val="0"/>
          <c:showCatName val="0"/>
          <c:showSerName val="0"/>
          <c:showPercent val="0"/>
          <c:showBubbleSize val="0"/>
        </c:dLbls>
        <c:gapWidth val="219"/>
        <c:overlap val="-27"/>
        <c:axId val="548654104"/>
        <c:axId val="548653120"/>
      </c:barChart>
      <c:catAx>
        <c:axId val="548654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653120"/>
        <c:crosses val="autoZero"/>
        <c:auto val="1"/>
        <c:lblAlgn val="ctr"/>
        <c:lblOffset val="100"/>
        <c:noMultiLvlLbl val="0"/>
      </c:catAx>
      <c:valAx>
        <c:axId val="54865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654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CC89E12AC5749945D0BD46213746D" ma:contentTypeVersion="6" ma:contentTypeDescription="Create a new document." ma:contentTypeScope="" ma:versionID="f7e9eb0f613bd49aea8230e29b7526e0">
  <xsd:schema xmlns:xsd="http://www.w3.org/2001/XMLSchema" xmlns:xs="http://www.w3.org/2001/XMLSchema" xmlns:p="http://schemas.microsoft.com/office/2006/metadata/properties" xmlns:ns2="9f0905b7-5053-4c52-926d-c331ff9abb9d" xmlns:ns3="8edeaec9-daae-45f6-8e59-9c8541b7e1f0" targetNamespace="http://schemas.microsoft.com/office/2006/metadata/properties" ma:root="true" ma:fieldsID="f7c366e4ab6ca78f1ee1cd76533120fa" ns2:_="" ns3:_="">
    <xsd:import namespace="9f0905b7-5053-4c52-926d-c331ff9abb9d"/>
    <xsd:import namespace="8edeaec9-daae-45f6-8e59-9c8541b7e1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05b7-5053-4c52-926d-c331ff9ab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eaec9-daae-45f6-8e59-9c8541b7e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46867-FEA3-416C-8F9B-2FD542BF6243}">
  <ds:schemaRefs>
    <ds:schemaRef ds:uri="http://schemas.microsoft.com/office/2006/metadata/properties"/>
    <ds:schemaRef ds:uri="8edeaec9-daae-45f6-8e59-9c8541b7e1f0"/>
    <ds:schemaRef ds:uri="http://purl.org/dc/terms/"/>
    <ds:schemaRef ds:uri="http://schemas.openxmlformats.org/package/2006/metadata/core-properties"/>
    <ds:schemaRef ds:uri="http://schemas.microsoft.com/office/2006/documentManagement/types"/>
    <ds:schemaRef ds:uri="9f0905b7-5053-4c52-926d-c331ff9abb9d"/>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7177E30-6F6C-425F-B34A-254CD859A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05b7-5053-4c52-926d-c331ff9abb9d"/>
    <ds:schemaRef ds:uri="8edeaec9-daae-45f6-8e59-9c8541b7e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081E1-431A-4A7E-9E9E-EF6225BBE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13</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HCPC</Company>
  <LinksUpToDate>false</LinksUpToDate>
  <CharactersWithSpaces>23184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iteId">
    <vt:lpwstr>204c66d3-15b2-4b28-920b-3969a52f1f8e</vt:lpwstr>
  </property>
  <property fmtid="{D5CDD505-2E9C-101B-9397-08002B2CF9AE}" pid="4" name="MSIP_Label_9811e234-adb8-40d2-945d-32bf08ea3300_Owner">
    <vt:lpwstr>amorc@hcpc-uk.org</vt:lpwstr>
  </property>
  <property fmtid="{D5CDD505-2E9C-101B-9397-08002B2CF9AE}" pid="5" name="MSIP_Label_9811e234-adb8-40d2-945d-32bf08ea3300_SetDate">
    <vt:lpwstr>2019-04-15T12:55:04.6770864Z</vt:lpwstr>
  </property>
  <property fmtid="{D5CDD505-2E9C-101B-9397-08002B2CF9AE}" pid="6" name="MSIP_Label_9811e234-adb8-40d2-945d-32bf08ea3300_Name">
    <vt:lpwstr>Unrestricted</vt:lpwstr>
  </property>
  <property fmtid="{D5CDD505-2E9C-101B-9397-08002B2CF9AE}" pid="7" name="MSIP_Label_9811e234-adb8-40d2-945d-32bf08ea3300_Application">
    <vt:lpwstr>Microsoft Azure Information Protection</vt:lpwstr>
  </property>
  <property fmtid="{D5CDD505-2E9C-101B-9397-08002B2CF9AE}" pid="8" name="MSIP_Label_9811e234-adb8-40d2-945d-32bf08ea3300_Extended_MSFT_Method">
    <vt:lpwstr>Manual</vt:lpwstr>
  </property>
  <property fmtid="{D5CDD505-2E9C-101B-9397-08002B2CF9AE}" pid="9" name="Sensitivity">
    <vt:lpwstr>Unrestricted</vt:lpwstr>
  </property>
  <property fmtid="{D5CDD505-2E9C-101B-9397-08002B2CF9AE}" pid="10" name="ContentTypeId">
    <vt:lpwstr>0x010100ABACC89E12AC5749945D0BD46213746D</vt:lpwstr>
  </property>
</Properties>
</file>